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74806D" w14:textId="77777777" w:rsidR="009C4087" w:rsidRDefault="006A5A62">
      <w:pPr>
        <w:jc w:val="center"/>
        <w:rPr>
          <w:rFonts w:ascii="Arial" w:hAnsi="Arial"/>
        </w:rPr>
      </w:pPr>
      <w:r>
        <w:rPr>
          <w:rFonts w:ascii="Arial" w:hAnsi="Arial"/>
        </w:rPr>
        <w:pict w14:anchorId="03DE23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112.05pt">
            <v:imagedata r:id="rId6" o:title="" croptop="-12371f" cropbottom="-14977f"/>
          </v:shape>
        </w:pict>
      </w:r>
    </w:p>
    <w:p w14:paraId="476F9822" w14:textId="77777777" w:rsidR="009C4087" w:rsidRDefault="009C4087">
      <w:pPr>
        <w:jc w:val="center"/>
        <w:rPr>
          <w:rFonts w:ascii="Arial" w:hAnsi="Arial"/>
        </w:rPr>
      </w:pPr>
    </w:p>
    <w:p w14:paraId="1F2C3595" w14:textId="77777777" w:rsidR="009C4087" w:rsidRDefault="009C4087">
      <w:pPr>
        <w:jc w:val="center"/>
        <w:rPr>
          <w:rFonts w:ascii="Arial" w:hAnsi="Arial"/>
        </w:rPr>
      </w:pPr>
    </w:p>
    <w:p w14:paraId="7E1057D0" w14:textId="77777777" w:rsidR="009C4087" w:rsidRDefault="009C4087">
      <w:pPr>
        <w:jc w:val="center"/>
        <w:rPr>
          <w:rFonts w:ascii="Arial" w:hAnsi="Arial"/>
        </w:rPr>
      </w:pPr>
    </w:p>
    <w:p w14:paraId="5405B9BA" w14:textId="77777777" w:rsidR="009C4087" w:rsidRDefault="009C4087">
      <w:pPr>
        <w:jc w:val="center"/>
        <w:rPr>
          <w:rFonts w:ascii="Arial" w:hAnsi="Arial"/>
        </w:rPr>
      </w:pPr>
    </w:p>
    <w:p w14:paraId="7AB2F573" w14:textId="77777777" w:rsidR="009C4087" w:rsidRDefault="009C4087">
      <w:pPr>
        <w:jc w:val="center"/>
        <w:rPr>
          <w:rFonts w:ascii="Arial" w:hAnsi="Arial"/>
        </w:rPr>
      </w:pPr>
    </w:p>
    <w:p w14:paraId="3E7F37A9" w14:textId="77777777" w:rsidR="009C4087" w:rsidRDefault="009C4087">
      <w:pPr>
        <w:jc w:val="center"/>
        <w:rPr>
          <w:rFonts w:ascii="Arial" w:hAnsi="Arial"/>
        </w:rPr>
      </w:pPr>
    </w:p>
    <w:p w14:paraId="3187240A" w14:textId="77777777" w:rsidR="009C4087" w:rsidRDefault="009C4087">
      <w:pPr>
        <w:jc w:val="center"/>
        <w:rPr>
          <w:rFonts w:ascii="Arial" w:hAnsi="Arial"/>
        </w:rPr>
      </w:pPr>
    </w:p>
    <w:p w14:paraId="287E5EB6" w14:textId="77777777" w:rsidR="009C4087" w:rsidRDefault="00D33EEC">
      <w:pPr>
        <w:pStyle w:val="Helvetica"/>
        <w:spacing w:line="216" w:lineRule="auto"/>
        <w:jc w:val="center"/>
        <w:rPr>
          <w:rFonts w:ascii="Arial" w:hAnsi="Arial"/>
          <w:b/>
          <w:sz w:val="48"/>
        </w:rPr>
      </w:pPr>
      <w:r>
        <w:rPr>
          <w:rFonts w:ascii="Arial" w:hAnsi="Arial"/>
          <w:b/>
          <w:sz w:val="48"/>
        </w:rPr>
        <w:t>CONSOLIDATED MAIL OUTPATIENT PHARMACY (CMOP)</w:t>
      </w:r>
    </w:p>
    <w:p w14:paraId="1304461C" w14:textId="77777777" w:rsidR="009C4087" w:rsidRDefault="009C4087">
      <w:pPr>
        <w:jc w:val="center"/>
        <w:rPr>
          <w:rFonts w:ascii="Arial" w:hAnsi="Arial"/>
        </w:rPr>
      </w:pPr>
    </w:p>
    <w:p w14:paraId="2602596B" w14:textId="77777777" w:rsidR="009C4087" w:rsidRDefault="00D33EEC">
      <w:pPr>
        <w:jc w:val="center"/>
        <w:rPr>
          <w:rFonts w:ascii="Arial" w:hAnsi="Arial"/>
          <w:b/>
          <w:sz w:val="48"/>
        </w:rPr>
      </w:pPr>
      <w:r>
        <w:rPr>
          <w:rFonts w:ascii="Arial" w:hAnsi="Arial"/>
          <w:b/>
          <w:sz w:val="48"/>
        </w:rPr>
        <w:t>PACKAGE SECURITY GUIDE</w:t>
      </w:r>
    </w:p>
    <w:p w14:paraId="432D2F05" w14:textId="77777777" w:rsidR="009C4087" w:rsidRDefault="009C4087">
      <w:pPr>
        <w:jc w:val="center"/>
        <w:rPr>
          <w:rFonts w:ascii="Arial" w:hAnsi="Arial"/>
        </w:rPr>
      </w:pPr>
    </w:p>
    <w:p w14:paraId="3771A1CB" w14:textId="77777777" w:rsidR="009C4087" w:rsidRDefault="00D33EEC">
      <w:pPr>
        <w:jc w:val="center"/>
        <w:rPr>
          <w:rFonts w:ascii="Arial" w:hAnsi="Arial"/>
          <w:b/>
          <w:sz w:val="48"/>
        </w:rPr>
      </w:pPr>
      <w:r>
        <w:rPr>
          <w:rFonts w:ascii="Arial" w:hAnsi="Arial"/>
          <w:b/>
          <w:sz w:val="48"/>
        </w:rPr>
        <w:t>SENSITIVE INFORMATION</w:t>
      </w:r>
    </w:p>
    <w:p w14:paraId="1D58AD75" w14:textId="77777777" w:rsidR="009C4087" w:rsidRDefault="009C4087">
      <w:pPr>
        <w:jc w:val="center"/>
        <w:rPr>
          <w:rFonts w:ascii="Arial" w:hAnsi="Arial"/>
        </w:rPr>
      </w:pPr>
    </w:p>
    <w:p w14:paraId="6E032AA2" w14:textId="77777777" w:rsidR="009C4087" w:rsidRDefault="009C4087">
      <w:pPr>
        <w:jc w:val="center"/>
        <w:rPr>
          <w:rFonts w:ascii="Arial" w:hAnsi="Arial"/>
        </w:rPr>
      </w:pPr>
    </w:p>
    <w:p w14:paraId="0A876D7C" w14:textId="77777777" w:rsidR="009C4087" w:rsidRDefault="009C4087">
      <w:pPr>
        <w:jc w:val="center"/>
        <w:rPr>
          <w:rFonts w:ascii="Arial" w:hAnsi="Arial"/>
        </w:rPr>
      </w:pPr>
    </w:p>
    <w:p w14:paraId="087FDF6E" w14:textId="77777777" w:rsidR="009C4087" w:rsidRDefault="009C4087">
      <w:pPr>
        <w:jc w:val="center"/>
        <w:rPr>
          <w:rFonts w:ascii="Arial" w:hAnsi="Arial"/>
        </w:rPr>
      </w:pPr>
    </w:p>
    <w:p w14:paraId="2CAB26F9" w14:textId="77777777" w:rsidR="009C4087" w:rsidRDefault="009C4087">
      <w:pPr>
        <w:jc w:val="center"/>
        <w:rPr>
          <w:rFonts w:ascii="Arial" w:hAnsi="Arial"/>
        </w:rPr>
      </w:pPr>
    </w:p>
    <w:p w14:paraId="3D02F826" w14:textId="77777777" w:rsidR="009C4087" w:rsidRDefault="009C4087">
      <w:pPr>
        <w:jc w:val="center"/>
        <w:rPr>
          <w:rFonts w:ascii="Arial" w:hAnsi="Arial"/>
        </w:rPr>
      </w:pPr>
    </w:p>
    <w:p w14:paraId="35F68D8A" w14:textId="77777777" w:rsidR="009C4087" w:rsidRDefault="00D33EEC">
      <w:pPr>
        <w:jc w:val="center"/>
        <w:rPr>
          <w:rFonts w:ascii="Arial" w:hAnsi="Arial"/>
          <w:sz w:val="48"/>
        </w:rPr>
      </w:pPr>
      <w:r>
        <w:rPr>
          <w:rFonts w:ascii="Arial" w:hAnsi="Arial"/>
          <w:sz w:val="48"/>
        </w:rPr>
        <w:t>Version 2.0</w:t>
      </w:r>
    </w:p>
    <w:p w14:paraId="4EA0C8C4" w14:textId="77777777" w:rsidR="009C4087" w:rsidRDefault="009C4087">
      <w:pPr>
        <w:jc w:val="center"/>
        <w:rPr>
          <w:rFonts w:ascii="Arial" w:hAnsi="Arial"/>
        </w:rPr>
      </w:pPr>
    </w:p>
    <w:p w14:paraId="0942D4AF" w14:textId="77777777" w:rsidR="009C4087" w:rsidRDefault="00D33EEC">
      <w:pPr>
        <w:jc w:val="center"/>
        <w:rPr>
          <w:rFonts w:ascii="Arial" w:hAnsi="Arial"/>
          <w:sz w:val="48"/>
        </w:rPr>
      </w:pPr>
      <w:r>
        <w:rPr>
          <w:rFonts w:ascii="Arial" w:hAnsi="Arial"/>
          <w:sz w:val="48"/>
        </w:rPr>
        <w:t>April 1997</w:t>
      </w:r>
    </w:p>
    <w:p w14:paraId="63E5EA01" w14:textId="77777777" w:rsidR="009C4087" w:rsidRDefault="009C4087">
      <w:pPr>
        <w:jc w:val="center"/>
        <w:rPr>
          <w:rFonts w:ascii="Arial" w:hAnsi="Arial"/>
        </w:rPr>
      </w:pPr>
    </w:p>
    <w:p w14:paraId="064F1D8E" w14:textId="77777777" w:rsidR="009C4087" w:rsidRDefault="009C4087">
      <w:pPr>
        <w:jc w:val="center"/>
        <w:rPr>
          <w:rFonts w:ascii="Arial" w:hAnsi="Arial"/>
        </w:rPr>
      </w:pPr>
    </w:p>
    <w:p w14:paraId="242D875C" w14:textId="77777777" w:rsidR="009C4087" w:rsidRDefault="009C4087">
      <w:pPr>
        <w:jc w:val="center"/>
        <w:rPr>
          <w:rFonts w:ascii="Arial" w:hAnsi="Arial"/>
        </w:rPr>
      </w:pPr>
    </w:p>
    <w:p w14:paraId="01AEA5CC" w14:textId="77777777" w:rsidR="009C4087" w:rsidRDefault="009C4087">
      <w:pPr>
        <w:jc w:val="center"/>
        <w:rPr>
          <w:rFonts w:ascii="Arial" w:hAnsi="Arial"/>
        </w:rPr>
      </w:pPr>
    </w:p>
    <w:p w14:paraId="241B40A1" w14:textId="77777777" w:rsidR="009C4087" w:rsidRDefault="009C4087">
      <w:pPr>
        <w:jc w:val="center"/>
        <w:rPr>
          <w:rFonts w:ascii="Arial" w:hAnsi="Arial"/>
        </w:rPr>
      </w:pPr>
    </w:p>
    <w:p w14:paraId="448B18D6" w14:textId="77777777" w:rsidR="009C4087" w:rsidRDefault="009C4087">
      <w:pPr>
        <w:jc w:val="center"/>
        <w:rPr>
          <w:rFonts w:ascii="Arial" w:hAnsi="Arial"/>
        </w:rPr>
      </w:pPr>
    </w:p>
    <w:p w14:paraId="2744AB00" w14:textId="77777777" w:rsidR="009C4087" w:rsidRDefault="009C4087">
      <w:pPr>
        <w:jc w:val="center"/>
        <w:rPr>
          <w:rFonts w:ascii="Arial" w:hAnsi="Arial"/>
        </w:rPr>
      </w:pPr>
    </w:p>
    <w:p w14:paraId="1060F000" w14:textId="77777777" w:rsidR="009C4087" w:rsidRDefault="009C4087">
      <w:pPr>
        <w:jc w:val="center"/>
        <w:rPr>
          <w:rFonts w:ascii="Arial" w:hAnsi="Arial"/>
        </w:rPr>
      </w:pPr>
    </w:p>
    <w:p w14:paraId="71E3F109" w14:textId="77777777" w:rsidR="009C4087" w:rsidRDefault="00D33EEC">
      <w:pPr>
        <w:jc w:val="center"/>
        <w:rPr>
          <w:rFonts w:ascii="Arial" w:hAnsi="Arial"/>
        </w:rPr>
      </w:pPr>
      <w:r>
        <w:rPr>
          <w:rFonts w:ascii="Arial" w:hAnsi="Arial"/>
        </w:rPr>
        <w:t>Department of Veterans Affairs</w:t>
      </w:r>
    </w:p>
    <w:p w14:paraId="50A2D995" w14:textId="77777777" w:rsidR="009C4087" w:rsidRDefault="00D33EEC">
      <w:pPr>
        <w:jc w:val="center"/>
        <w:rPr>
          <w:rFonts w:ascii="Arial" w:hAnsi="Arial"/>
        </w:rPr>
      </w:pPr>
      <w:r>
        <w:rPr>
          <w:rFonts w:ascii="Arial" w:hAnsi="Arial"/>
          <w:b/>
          <w:sz w:val="28"/>
        </w:rPr>
        <w:t>V</w:t>
      </w:r>
      <w:r>
        <w:rPr>
          <w:rFonts w:ascii="Arial" w:hAnsi="Arial"/>
          <w:i/>
        </w:rPr>
        <w:t>IST</w:t>
      </w:r>
      <w:r>
        <w:rPr>
          <w:rFonts w:ascii="Arial" w:hAnsi="Arial"/>
          <w:b/>
          <w:sz w:val="28"/>
        </w:rPr>
        <w:t>A</w:t>
      </w:r>
      <w:r>
        <w:rPr>
          <w:rFonts w:ascii="Arial" w:hAnsi="Arial"/>
        </w:rPr>
        <w:t xml:space="preserve"> Software Development</w:t>
      </w:r>
    </w:p>
    <w:p w14:paraId="128217F3" w14:textId="77777777" w:rsidR="009C4087" w:rsidRDefault="00D33EEC">
      <w:pPr>
        <w:tabs>
          <w:tab w:val="left" w:pos="1440"/>
        </w:tabs>
        <w:jc w:val="center"/>
        <w:rPr>
          <w:rFonts w:ascii="Arial" w:hAnsi="Arial"/>
        </w:rPr>
      </w:pPr>
      <w:r>
        <w:rPr>
          <w:rFonts w:ascii="Arial" w:hAnsi="Arial"/>
        </w:rPr>
        <w:t>Clinical Ancillary Product Line</w:t>
      </w:r>
      <w:r>
        <w:rPr>
          <w:rFonts w:ascii="Arial" w:hAnsi="Arial"/>
          <w:vanish/>
        </w:rPr>
        <w:t xml:space="preserve"> </w:t>
      </w:r>
    </w:p>
    <w:p w14:paraId="23DD918E" w14:textId="77777777" w:rsidR="009C4087" w:rsidRDefault="009C4087">
      <w:pPr>
        <w:jc w:val="center"/>
        <w:rPr>
          <w:rFonts w:ascii="Arial" w:hAnsi="Arial"/>
        </w:rPr>
      </w:pPr>
    </w:p>
    <w:p w14:paraId="0625CAFB" w14:textId="77777777" w:rsidR="009C4087" w:rsidRDefault="009C4087">
      <w:pPr>
        <w:jc w:val="center"/>
        <w:rPr>
          <w:rFonts w:ascii="Arial" w:hAnsi="Arial"/>
        </w:rPr>
      </w:pPr>
    </w:p>
    <w:p w14:paraId="72E8C337" w14:textId="77777777" w:rsidR="009C4087" w:rsidRDefault="009C4087">
      <w:pPr>
        <w:pStyle w:val="Heading1"/>
        <w:sectPr w:rsidR="009C4087">
          <w:footerReference w:type="default" r:id="rId7"/>
          <w:pgSz w:w="12240" w:h="15840" w:code="1"/>
          <w:pgMar w:top="1440" w:right="1440" w:bottom="1440" w:left="1440" w:header="720" w:footer="720" w:gutter="0"/>
          <w:cols w:space="720"/>
          <w:titlePg/>
        </w:sectPr>
      </w:pPr>
    </w:p>
    <w:p w14:paraId="6696127C" w14:textId="77777777" w:rsidR="009C4087" w:rsidRDefault="00D33EEC">
      <w:pPr>
        <w:pStyle w:val="Heading1"/>
      </w:pPr>
      <w:r>
        <w:lastRenderedPageBreak/>
        <w:t>Introduction</w:t>
      </w:r>
    </w:p>
    <w:p w14:paraId="2650027B" w14:textId="77777777" w:rsidR="009C4087" w:rsidRDefault="009C4087"/>
    <w:p w14:paraId="667BDD95" w14:textId="77777777" w:rsidR="009C4087" w:rsidRDefault="00D33EEC">
      <w:pPr>
        <w:ind w:left="720"/>
      </w:pPr>
      <w:r>
        <w:t>The Consolidated Mail Outpatient Pharmacy (CMOP) package streamlines and consolidates the existing mail outpatient pharmacy system. The CMOP system was developed to allow CMOP pharmacies to function as a centralized, automated mail outpatient pharmacy. Orders are entered at each medical center and data is transmitted to the CMOP Veterans Health Information Systems and Technology Architecture (</w:t>
      </w:r>
      <w:r>
        <w:rPr>
          <w:b/>
          <w:sz w:val="28"/>
        </w:rPr>
        <w:t>V</w:t>
      </w:r>
      <w:r>
        <w:rPr>
          <w:i/>
        </w:rPr>
        <w:t>IST</w:t>
      </w:r>
      <w:r>
        <w:rPr>
          <w:b/>
          <w:sz w:val="28"/>
        </w:rPr>
        <w:t>A</w:t>
      </w:r>
      <w:r>
        <w:t>) system. The data is loaded into the CMOP database files and then transmitted to the vendor automated dispensing equipment system for processing and mailing to the patient.</w:t>
      </w:r>
    </w:p>
    <w:p w14:paraId="38F0801C" w14:textId="77777777" w:rsidR="009C4087" w:rsidRDefault="009C4087">
      <w:pPr>
        <w:ind w:left="720"/>
      </w:pPr>
    </w:p>
    <w:p w14:paraId="7D6F89FC" w14:textId="77777777" w:rsidR="009C4087" w:rsidRDefault="00D33EEC">
      <w:pPr>
        <w:pStyle w:val="Heading2"/>
      </w:pPr>
      <w:r>
        <w:t>Legal Requirements</w:t>
      </w:r>
    </w:p>
    <w:p w14:paraId="3B0D8441" w14:textId="77777777" w:rsidR="009C4087" w:rsidRDefault="009C4087">
      <w:pPr>
        <w:ind w:left="720"/>
      </w:pPr>
    </w:p>
    <w:p w14:paraId="10978742" w14:textId="77777777" w:rsidR="009C4087" w:rsidRDefault="00D33EEC">
      <w:pPr>
        <w:ind w:left="720"/>
      </w:pPr>
      <w:r>
        <w:t>This package does not impose any additional legal requirements on the user, nor does it relieve the user of any legal requirements.</w:t>
      </w:r>
    </w:p>
    <w:p w14:paraId="202CBA0F" w14:textId="77777777" w:rsidR="009C4087" w:rsidRDefault="009C4087">
      <w:pPr>
        <w:ind w:left="720"/>
      </w:pPr>
    </w:p>
    <w:p w14:paraId="6EEA8513" w14:textId="77777777" w:rsidR="009C4087" w:rsidRDefault="00D33EEC">
      <w:pPr>
        <w:pStyle w:val="Heading2"/>
      </w:pPr>
      <w:r>
        <w:t>CMOP Remote Medical Centers</w:t>
      </w:r>
    </w:p>
    <w:p w14:paraId="36000983" w14:textId="77777777" w:rsidR="009C4087" w:rsidRDefault="009C4087">
      <w:pPr>
        <w:ind w:left="720"/>
      </w:pPr>
    </w:p>
    <w:p w14:paraId="3A79B7BD" w14:textId="77777777" w:rsidR="009C4087" w:rsidRDefault="00D33EEC">
      <w:pPr>
        <w:pStyle w:val="Heading3"/>
      </w:pPr>
      <w:r>
        <w:t>Security Keys</w:t>
      </w:r>
    </w:p>
    <w:p w14:paraId="6A8A9CA2" w14:textId="77777777" w:rsidR="009C4087" w:rsidRDefault="009C4087"/>
    <w:p w14:paraId="62A7DDEC" w14:textId="77777777" w:rsidR="009C4087" w:rsidRDefault="00D33EEC">
      <w:pPr>
        <w:ind w:left="720"/>
      </w:pPr>
      <w:r>
        <w:t>The security keys listed below control the access necessary to operate the CMOP software. These keys should be assigned by the Chief of Pharmacy or a designee.</w:t>
      </w:r>
    </w:p>
    <w:p w14:paraId="5CF9963A" w14:textId="77777777" w:rsidR="009C4087" w:rsidRDefault="009C4087"/>
    <w:p w14:paraId="6E0513B2" w14:textId="77777777" w:rsidR="009C4087" w:rsidRDefault="00D33EEC">
      <w:pPr>
        <w:ind w:left="3960" w:hanging="2520"/>
      </w:pPr>
      <w:r>
        <w:t>PSXCMOPMGR</w:t>
      </w:r>
      <w:r>
        <w:tab/>
        <w:t xml:space="preserve">This security key locks the </w:t>
      </w:r>
      <w:r>
        <w:rPr>
          <w:i/>
        </w:rPr>
        <w:t>CMOP Site Manager Menu.</w:t>
      </w:r>
    </w:p>
    <w:p w14:paraId="53D191B1" w14:textId="77777777" w:rsidR="009C4087" w:rsidRDefault="009C4087">
      <w:pPr>
        <w:ind w:left="3960" w:hanging="2520"/>
      </w:pPr>
    </w:p>
    <w:p w14:paraId="29CF2139" w14:textId="77777777" w:rsidR="009C4087" w:rsidRDefault="00D33EEC">
      <w:pPr>
        <w:ind w:left="3960" w:hanging="2520"/>
      </w:pPr>
      <w:r>
        <w:t>PSX XMIT</w:t>
      </w:r>
      <w:r>
        <w:tab/>
        <w:t xml:space="preserve">Only holders of this security key and the PSXCMOPMGR key may transmit data to the CMOP using suspense options. This key also locks the </w:t>
      </w:r>
      <w:r>
        <w:rPr>
          <w:i/>
        </w:rPr>
        <w:t>Transmission Menu</w:t>
      </w:r>
      <w:r>
        <w:t xml:space="preserve"> on the </w:t>
      </w:r>
      <w:r>
        <w:rPr>
          <w:i/>
        </w:rPr>
        <w:t>CMOP Site Manager Menu</w:t>
      </w:r>
      <w:r>
        <w:t>.</w:t>
      </w:r>
    </w:p>
    <w:p w14:paraId="0A3A4D18" w14:textId="77777777" w:rsidR="009C4087" w:rsidRDefault="009C4087">
      <w:pPr>
        <w:ind w:left="3960" w:hanging="2520"/>
      </w:pPr>
    </w:p>
    <w:p w14:paraId="79AC4CD5" w14:textId="77777777" w:rsidR="009C4087" w:rsidRDefault="00D33EEC">
      <w:pPr>
        <w:ind w:left="3960" w:hanging="2520"/>
      </w:pPr>
      <w:r>
        <w:t>PSXRTRAN</w:t>
      </w:r>
      <w:r>
        <w:tab/>
        <w:t xml:space="preserve">This key allows the holder to access the </w:t>
      </w:r>
      <w:r>
        <w:rPr>
          <w:i/>
        </w:rPr>
        <w:t>Re-transmit CMOP Data</w:t>
      </w:r>
      <w:r>
        <w:t xml:space="preserve"> option which re-sends previously transmitted data to the CMOP.</w:t>
      </w:r>
    </w:p>
    <w:p w14:paraId="620C93A5" w14:textId="77777777" w:rsidR="009C4087" w:rsidRDefault="009C4087">
      <w:pPr>
        <w:tabs>
          <w:tab w:val="left" w:pos="3240"/>
        </w:tabs>
        <w:ind w:left="3600" w:hanging="2880"/>
        <w:rPr>
          <w:sz w:val="20"/>
        </w:rPr>
      </w:pPr>
    </w:p>
    <w:p w14:paraId="1788FBFB" w14:textId="77777777" w:rsidR="009C4087" w:rsidRDefault="00D33EEC">
      <w:pPr>
        <w:ind w:left="3960" w:hanging="2520"/>
      </w:pPr>
      <w:r>
        <w:t>PSXAUTOX</w:t>
      </w:r>
      <w:r>
        <w:tab/>
        <w:t xml:space="preserve">This security key allows users access to the </w:t>
      </w:r>
      <w:r>
        <w:rPr>
          <w:i/>
        </w:rPr>
        <w:t>Setup</w:t>
      </w:r>
      <w:r>
        <w:t xml:space="preserve"> </w:t>
      </w:r>
      <w:r>
        <w:rPr>
          <w:i/>
        </w:rPr>
        <w:t>Auto-transmission</w:t>
      </w:r>
      <w:r>
        <w:t xml:space="preserve"> option. This key in combination with the PSXCMOPMGR and PSX XMIT are required to set up the auto-transmission schedule.</w:t>
      </w:r>
    </w:p>
    <w:p w14:paraId="7D379A41" w14:textId="77777777" w:rsidR="009C4087" w:rsidRDefault="009C4087">
      <w:pPr>
        <w:ind w:left="3960" w:hanging="2520"/>
      </w:pPr>
    </w:p>
    <w:p w14:paraId="5925BA28" w14:textId="77777777" w:rsidR="009C4087" w:rsidRDefault="00D33EEC">
      <w:pPr>
        <w:ind w:left="3960" w:hanging="2520"/>
      </w:pPr>
      <w:r>
        <w:br w:type="page"/>
      </w:r>
      <w:r>
        <w:lastRenderedPageBreak/>
        <w:t>PSNMGR</w:t>
      </w:r>
      <w:r>
        <w:tab/>
        <w:t xml:space="preserve">This security key is used to lock the </w:t>
      </w:r>
      <w:r>
        <w:rPr>
          <w:i/>
        </w:rPr>
        <w:t>CMOP Mark/Unmark (Single drug)</w:t>
      </w:r>
      <w:r>
        <w:t xml:space="preserve"> and the </w:t>
      </w:r>
      <w:r>
        <w:rPr>
          <w:i/>
        </w:rPr>
        <w:t>Loop CMOP Match to Local Drug File</w:t>
      </w:r>
      <w:r>
        <w:t xml:space="preserve"> options which use the NATIONAL DRUG file (#50.6) to mark and match items for CMOP dispense. This key is not exported with CMOP.</w:t>
      </w:r>
    </w:p>
    <w:p w14:paraId="176364D4" w14:textId="77777777" w:rsidR="009C4087" w:rsidRDefault="009C4087">
      <w:pPr>
        <w:ind w:left="3960" w:hanging="2520"/>
      </w:pPr>
    </w:p>
    <w:p w14:paraId="5B1FD9C1" w14:textId="77777777" w:rsidR="009C4087" w:rsidRDefault="00D33EEC">
      <w:pPr>
        <w:ind w:left="3960" w:hanging="2520"/>
      </w:pPr>
      <w:r>
        <w:t>PSXMAIL</w:t>
      </w:r>
      <w:r>
        <w:tab/>
        <w:t>This security key enables a site manager to specify who receives the various mail messages and alerts generated by the CMOP process. The user(s) assigned this key must be active in the system. When the mail messages are generated, the software will look for users with the PSXMAIL key who are active. If there are no users with this key or there are users with this key who are inactive, then the software will send the messages to all holders of the PSXCMOPMGR key.</w:t>
      </w:r>
    </w:p>
    <w:p w14:paraId="6FF1988D" w14:textId="77777777" w:rsidR="009C4087" w:rsidRDefault="009C4087">
      <w:pPr>
        <w:ind w:left="3960" w:hanging="2520"/>
      </w:pPr>
    </w:p>
    <w:p w14:paraId="22765874" w14:textId="77777777" w:rsidR="009C4087" w:rsidRDefault="00D33EEC">
      <w:pPr>
        <w:ind w:left="3960" w:hanging="2520"/>
      </w:pPr>
      <w:r>
        <w:t>PSXRESUB</w:t>
      </w:r>
      <w:r>
        <w:tab/>
        <w:t xml:space="preserve">This security key is used to lock the </w:t>
      </w:r>
      <w:r>
        <w:rPr>
          <w:i/>
        </w:rPr>
        <w:t>Resubmit CMOP Rx</w:t>
      </w:r>
      <w:r>
        <w:t xml:space="preserve"> option and enables a designated user to resubmit Rx’s to the CMOP.</w:t>
      </w:r>
    </w:p>
    <w:p w14:paraId="312C1E1A" w14:textId="77777777" w:rsidR="009C4087" w:rsidRDefault="009C4087">
      <w:pPr>
        <w:ind w:left="3960" w:hanging="2520"/>
      </w:pPr>
    </w:p>
    <w:p w14:paraId="048B9B9F" w14:textId="77777777" w:rsidR="009C4087" w:rsidRDefault="00D33EEC">
      <w:pPr>
        <w:pStyle w:val="Heading3"/>
      </w:pPr>
      <w:r>
        <w:t>Menus</w:t>
      </w:r>
    </w:p>
    <w:p w14:paraId="7ADDE3DF" w14:textId="77777777" w:rsidR="009C4087" w:rsidRDefault="009C4087">
      <w:pPr>
        <w:tabs>
          <w:tab w:val="left" w:pos="3600"/>
        </w:tabs>
        <w:ind w:left="3600" w:hanging="2880"/>
      </w:pPr>
    </w:p>
    <w:p w14:paraId="2D7BDC4C" w14:textId="77777777" w:rsidR="009C4087" w:rsidRDefault="00D33EEC">
      <w:pPr>
        <w:ind w:left="720"/>
      </w:pPr>
      <w:r>
        <w:t>This package exports the following menus for the remote medical centers. These menus should be assigned at the discretion of the Chief of Pharmacy at the remote medical centers.</w:t>
      </w:r>
    </w:p>
    <w:p w14:paraId="03BF13E0" w14:textId="77777777" w:rsidR="009C4087" w:rsidRDefault="009C4087">
      <w:pPr>
        <w:ind w:left="720"/>
      </w:pPr>
    </w:p>
    <w:p w14:paraId="546A17B2" w14:textId="77777777" w:rsidR="009C4087" w:rsidRDefault="009C4087">
      <w:pPr>
        <w:rPr>
          <w:sz w:val="20"/>
        </w:rPr>
      </w:pPr>
    </w:p>
    <w:p w14:paraId="051BDEA9" w14:textId="77777777" w:rsidR="009C4087" w:rsidRDefault="00D33EEC">
      <w:pPr>
        <w:ind w:left="2160"/>
        <w:rPr>
          <w:i/>
        </w:rPr>
      </w:pPr>
      <w:r>
        <w:rPr>
          <w:i/>
        </w:rPr>
        <w:t>CMOP Site Manager Menu</w:t>
      </w:r>
    </w:p>
    <w:p w14:paraId="1939A874" w14:textId="77777777" w:rsidR="009C4087" w:rsidRDefault="00D33EEC">
      <w:pPr>
        <w:ind w:left="2520"/>
        <w:rPr>
          <w:i/>
        </w:rPr>
      </w:pPr>
      <w:r>
        <w:rPr>
          <w:i/>
        </w:rPr>
        <w:t>CMOP Drug/Item Management …</w:t>
      </w:r>
    </w:p>
    <w:p w14:paraId="54002050" w14:textId="77777777" w:rsidR="009C4087" w:rsidRDefault="00D33EEC">
      <w:pPr>
        <w:ind w:left="2520"/>
        <w:rPr>
          <w:i/>
        </w:rPr>
      </w:pPr>
      <w:r>
        <w:rPr>
          <w:i/>
        </w:rPr>
        <w:t>Reports Menu …</w:t>
      </w:r>
    </w:p>
    <w:p w14:paraId="23E4836B" w14:textId="77777777" w:rsidR="009C4087" w:rsidRDefault="00D33EEC">
      <w:pPr>
        <w:ind w:left="2520"/>
        <w:rPr>
          <w:i/>
        </w:rPr>
      </w:pPr>
      <w:r>
        <w:rPr>
          <w:i/>
        </w:rPr>
        <w:t>Transmission Menu …</w:t>
      </w:r>
    </w:p>
    <w:p w14:paraId="109257FF" w14:textId="77777777" w:rsidR="009C4087" w:rsidRDefault="009C4087">
      <w:pPr>
        <w:ind w:left="2520"/>
      </w:pPr>
    </w:p>
    <w:p w14:paraId="594686FC" w14:textId="77777777" w:rsidR="009C4087" w:rsidRDefault="009C4087"/>
    <w:p w14:paraId="01B557FA" w14:textId="77777777" w:rsidR="009C4087" w:rsidRDefault="00D33EEC">
      <w:pPr>
        <w:pStyle w:val="Heading2"/>
      </w:pPr>
      <w:r>
        <w:t>CMOP Host Facilities</w:t>
      </w:r>
    </w:p>
    <w:p w14:paraId="24FCD0E9" w14:textId="77777777" w:rsidR="009C4087" w:rsidRDefault="009C4087"/>
    <w:p w14:paraId="11E7523E" w14:textId="77777777" w:rsidR="009C4087" w:rsidRDefault="00D33EEC">
      <w:pPr>
        <w:pStyle w:val="Heading3"/>
      </w:pPr>
      <w:r>
        <w:t>Security Keys</w:t>
      </w:r>
    </w:p>
    <w:p w14:paraId="724AC599" w14:textId="77777777" w:rsidR="009C4087" w:rsidRDefault="009C4087"/>
    <w:p w14:paraId="398B7DD0" w14:textId="77777777" w:rsidR="009C4087" w:rsidRDefault="00D33EEC">
      <w:pPr>
        <w:ind w:left="720"/>
      </w:pPr>
      <w:r>
        <w:t>The security keys listed below control the access necessary to operate the CMOP software. At the host CMOP, these keys should be assigned by the CMOP Director or a designee.</w:t>
      </w:r>
    </w:p>
    <w:p w14:paraId="37665886" w14:textId="77777777" w:rsidR="009C4087" w:rsidRDefault="009C4087"/>
    <w:p w14:paraId="6C5EDCDA" w14:textId="77777777" w:rsidR="009C4087" w:rsidRDefault="009C4087">
      <w:pPr>
        <w:tabs>
          <w:tab w:val="left" w:pos="3960"/>
        </w:tabs>
        <w:ind w:left="3960" w:right="-720" w:hanging="2520"/>
      </w:pPr>
    </w:p>
    <w:p w14:paraId="0E4B7EAD" w14:textId="77777777" w:rsidR="009C4087" w:rsidRDefault="00D33EEC">
      <w:pPr>
        <w:ind w:left="3960" w:hanging="2520"/>
        <w:rPr>
          <w:i/>
        </w:rPr>
      </w:pPr>
      <w:r>
        <w:t>PSXCMOPMGR</w:t>
      </w:r>
      <w:r>
        <w:tab/>
        <w:t xml:space="preserve">This security key locks the </w:t>
      </w:r>
      <w:r>
        <w:rPr>
          <w:i/>
        </w:rPr>
        <w:t>CMOP System Management Menu.</w:t>
      </w:r>
    </w:p>
    <w:p w14:paraId="0147607C" w14:textId="77777777" w:rsidR="009C4087" w:rsidRDefault="009C4087">
      <w:pPr>
        <w:ind w:left="3960" w:hanging="2520"/>
      </w:pPr>
    </w:p>
    <w:p w14:paraId="2A4D19EA" w14:textId="77777777" w:rsidR="009C4087" w:rsidRDefault="00D33EEC">
      <w:pPr>
        <w:ind w:left="3960" w:hanging="2520"/>
      </w:pPr>
      <w:r>
        <w:lastRenderedPageBreak/>
        <w:t>PSXCOST</w:t>
      </w:r>
      <w:r>
        <w:tab/>
        <w:t xml:space="preserve">This key allows the holder to access the compile/recompile, initialize, update, and purge options of the </w:t>
      </w:r>
      <w:r>
        <w:rPr>
          <w:i/>
        </w:rPr>
        <w:t>Facility Cost Management</w:t>
      </w:r>
      <w:r>
        <w:t xml:space="preserve"> menu.</w:t>
      </w:r>
    </w:p>
    <w:p w14:paraId="6AE7E792" w14:textId="77777777" w:rsidR="009C4087" w:rsidRDefault="009C4087">
      <w:pPr>
        <w:ind w:left="3960" w:hanging="2520"/>
      </w:pPr>
    </w:p>
    <w:p w14:paraId="5DABAEE8" w14:textId="77777777" w:rsidR="009C4087" w:rsidRDefault="00D33EEC">
      <w:pPr>
        <w:ind w:left="3960" w:hanging="2520"/>
      </w:pPr>
      <w:r>
        <w:t>PSXRPH</w:t>
      </w:r>
      <w:r>
        <w:tab/>
        <w:t xml:space="preserve">This key should only be assigned to the pharmacists who will be responsible for the release of prescriptions at the CMOP. The user </w:t>
      </w:r>
      <w:r>
        <w:rPr>
          <w:b/>
        </w:rPr>
        <w:t>must</w:t>
      </w:r>
      <w:r>
        <w:t xml:space="preserve"> have this key to manually release Rx’s at the CMOP host facility.</w:t>
      </w:r>
    </w:p>
    <w:p w14:paraId="1E61DADE" w14:textId="77777777" w:rsidR="009C4087" w:rsidRDefault="009C4087">
      <w:pPr>
        <w:ind w:left="3960" w:hanging="2520"/>
      </w:pPr>
    </w:p>
    <w:p w14:paraId="2B162F4C" w14:textId="77777777" w:rsidR="009C4087" w:rsidRDefault="00D33EEC">
      <w:pPr>
        <w:ind w:left="3960" w:hanging="2520"/>
      </w:pPr>
      <w:r>
        <w:t>PSNMGR</w:t>
      </w:r>
      <w:r>
        <w:tab/>
        <w:t xml:space="preserve">This security key is used to lock the </w:t>
      </w:r>
      <w:r>
        <w:rPr>
          <w:i/>
        </w:rPr>
        <w:t>CMOP Mark/Unmark (Single drug)</w:t>
      </w:r>
      <w:r>
        <w:t xml:space="preserve"> and the </w:t>
      </w:r>
      <w:r>
        <w:rPr>
          <w:i/>
        </w:rPr>
        <w:t>Loop CMOP Match to Local Drug File</w:t>
      </w:r>
      <w:r>
        <w:t xml:space="preserve"> options which use the NATIONAL DRUG file (#50.6) to mark and match items for CMOP dispense. This key is not exported with CMOP.</w:t>
      </w:r>
    </w:p>
    <w:p w14:paraId="0D213660" w14:textId="77777777" w:rsidR="009C4087" w:rsidRDefault="009C4087">
      <w:pPr>
        <w:ind w:left="3960" w:hanging="2520"/>
      </w:pPr>
    </w:p>
    <w:p w14:paraId="4E2FCA74" w14:textId="77777777" w:rsidR="009C4087" w:rsidRDefault="00D33EEC">
      <w:pPr>
        <w:ind w:left="3960" w:hanging="2520"/>
      </w:pPr>
      <w:r>
        <w:t>PSXMAIL</w:t>
      </w:r>
      <w:r>
        <w:tab/>
        <w:t>This security key enables a site manager to specify who receives the various mail messages and alerts generated by the CMOP process. The user(s) assigned this key must be active in the system. When the mail messages are generated, the software will look for users with the PSXMAIL key who are active. If there are no users with this key or there are users with this key who are inactive, then the software will send the messages to all holders of the PSXCMOPMGR key.</w:t>
      </w:r>
    </w:p>
    <w:p w14:paraId="1A76AC38" w14:textId="77777777" w:rsidR="009C4087" w:rsidRDefault="009C4087">
      <w:pPr>
        <w:ind w:left="3960" w:hanging="2520"/>
      </w:pPr>
    </w:p>
    <w:p w14:paraId="55B99F48" w14:textId="77777777" w:rsidR="009C4087" w:rsidRDefault="00D33EEC">
      <w:pPr>
        <w:pStyle w:val="Heading3"/>
      </w:pPr>
      <w:r>
        <w:t>Menus</w:t>
      </w:r>
    </w:p>
    <w:p w14:paraId="4D207D2C" w14:textId="77777777" w:rsidR="009C4087" w:rsidRDefault="009C4087"/>
    <w:p w14:paraId="726EF006" w14:textId="77777777" w:rsidR="009C4087" w:rsidRDefault="00D33EEC">
      <w:pPr>
        <w:ind w:left="720"/>
      </w:pPr>
      <w:r>
        <w:t xml:space="preserve">This package exports the following menus for the CMOP host facilities. These menus should be assigned at the discretion of the CMOP Manager at the host CMOP. </w:t>
      </w:r>
    </w:p>
    <w:p w14:paraId="24FB1DBA" w14:textId="77777777" w:rsidR="009C4087" w:rsidRDefault="009C4087">
      <w:pPr>
        <w:ind w:left="720"/>
      </w:pPr>
    </w:p>
    <w:p w14:paraId="50B032AC" w14:textId="77777777" w:rsidR="009C4087" w:rsidRDefault="009C4087">
      <w:pPr>
        <w:rPr>
          <w:sz w:val="20"/>
        </w:rPr>
      </w:pPr>
    </w:p>
    <w:p w14:paraId="1294E2FA" w14:textId="77777777" w:rsidR="009C4087" w:rsidRDefault="00D33EEC">
      <w:pPr>
        <w:ind w:left="2160"/>
        <w:rPr>
          <w:i/>
        </w:rPr>
      </w:pPr>
      <w:r>
        <w:rPr>
          <w:i/>
        </w:rPr>
        <w:t>CMOP System Management Menu</w:t>
      </w:r>
    </w:p>
    <w:p w14:paraId="74D45946" w14:textId="77777777" w:rsidR="009C4087" w:rsidRDefault="00D33EEC">
      <w:pPr>
        <w:ind w:left="2520"/>
        <w:rPr>
          <w:i/>
        </w:rPr>
      </w:pPr>
      <w:r>
        <w:rPr>
          <w:i/>
        </w:rPr>
        <w:t>Interface Menu …</w:t>
      </w:r>
    </w:p>
    <w:p w14:paraId="1171C513" w14:textId="77777777" w:rsidR="009C4087" w:rsidRDefault="00D33EEC">
      <w:pPr>
        <w:ind w:left="2520"/>
        <w:rPr>
          <w:i/>
        </w:rPr>
      </w:pPr>
      <w:r>
        <w:rPr>
          <w:i/>
        </w:rPr>
        <w:t>Operations Management …</w:t>
      </w:r>
    </w:p>
    <w:p w14:paraId="54A21A15" w14:textId="77777777" w:rsidR="009C4087" w:rsidRDefault="00D33EEC">
      <w:pPr>
        <w:ind w:left="2520"/>
        <w:rPr>
          <w:i/>
        </w:rPr>
      </w:pPr>
      <w:r>
        <w:rPr>
          <w:i/>
        </w:rPr>
        <w:t>Reports Menu …</w:t>
      </w:r>
    </w:p>
    <w:p w14:paraId="69CF6999" w14:textId="77777777" w:rsidR="009C4087" w:rsidRDefault="00D33EEC">
      <w:pPr>
        <w:ind w:left="2520"/>
        <w:rPr>
          <w:i/>
        </w:rPr>
      </w:pPr>
      <w:r>
        <w:rPr>
          <w:i/>
        </w:rPr>
        <w:t>CMOP Drug/Item Management …</w:t>
      </w:r>
    </w:p>
    <w:p w14:paraId="551307D8" w14:textId="77777777" w:rsidR="009C4087" w:rsidRDefault="00D33EEC">
      <w:pPr>
        <w:ind w:left="2520"/>
        <w:rPr>
          <w:i/>
        </w:rPr>
      </w:pPr>
      <w:r>
        <w:rPr>
          <w:i/>
        </w:rPr>
        <w:t>Facility Cost Management …</w:t>
      </w:r>
    </w:p>
    <w:p w14:paraId="5620CD92" w14:textId="77777777" w:rsidR="009C4087" w:rsidRDefault="00D33EEC">
      <w:pPr>
        <w:ind w:left="2520"/>
        <w:rPr>
          <w:i/>
        </w:rPr>
      </w:pPr>
      <w:r>
        <w:rPr>
          <w:i/>
        </w:rPr>
        <w:t>Archive CMOP Data …</w:t>
      </w:r>
    </w:p>
    <w:p w14:paraId="437B4DA7" w14:textId="77777777" w:rsidR="009C4087" w:rsidRDefault="009C4087">
      <w:pPr>
        <w:ind w:left="2160"/>
        <w:rPr>
          <w:i/>
        </w:rPr>
      </w:pPr>
    </w:p>
    <w:p w14:paraId="6C5EE3EB" w14:textId="77777777" w:rsidR="009C4087" w:rsidRDefault="009C4087"/>
    <w:p w14:paraId="0F5AAFED" w14:textId="77777777" w:rsidR="009C4087" w:rsidRDefault="00D33EEC">
      <w:pPr>
        <w:pStyle w:val="Heading3"/>
      </w:pPr>
      <w:r>
        <w:br w:type="page"/>
      </w:r>
      <w:r>
        <w:lastRenderedPageBreak/>
        <w:t>File Security</w:t>
      </w:r>
    </w:p>
    <w:p w14:paraId="251BCCD3" w14:textId="77777777" w:rsidR="009C4087" w:rsidRDefault="009C4087"/>
    <w:p w14:paraId="368D7732" w14:textId="77777777" w:rsidR="009C4087" w:rsidRDefault="00D33EEC">
      <w:pPr>
        <w:ind w:left="720"/>
      </w:pPr>
      <w:r>
        <w:t xml:space="preserve">This package requires 19 files in addition to those of the Kernel and other files to which it points, for example, the PATIENT file (#2). Information about all files, including these can be obtained by using the VA FileMan to generate a list of file attributes. </w:t>
      </w:r>
    </w:p>
    <w:p w14:paraId="6C228A02" w14:textId="77777777" w:rsidR="009C4087" w:rsidRDefault="009C4087">
      <w:pPr>
        <w:ind w:left="720"/>
      </w:pPr>
    </w:p>
    <w:tbl>
      <w:tblPr>
        <w:tblW w:w="0" w:type="auto"/>
        <w:tblInd w:w="648" w:type="dxa"/>
        <w:tblLayout w:type="fixed"/>
        <w:tblLook w:val="0000" w:firstRow="0" w:lastRow="0" w:firstColumn="0" w:lastColumn="0" w:noHBand="0" w:noVBand="0"/>
      </w:tblPr>
      <w:tblGrid>
        <w:gridCol w:w="1265"/>
        <w:gridCol w:w="3775"/>
        <w:gridCol w:w="810"/>
        <w:gridCol w:w="892"/>
        <w:gridCol w:w="728"/>
        <w:gridCol w:w="835"/>
        <w:gridCol w:w="1143"/>
      </w:tblGrid>
      <w:tr w:rsidR="009C4087" w14:paraId="60C8D89F" w14:textId="77777777">
        <w:tc>
          <w:tcPr>
            <w:tcW w:w="1265" w:type="dxa"/>
          </w:tcPr>
          <w:p w14:paraId="04156E8F" w14:textId="77777777" w:rsidR="009C4087" w:rsidRDefault="00D33EEC">
            <w:r>
              <w:t>File Numbers</w:t>
            </w:r>
          </w:p>
        </w:tc>
        <w:tc>
          <w:tcPr>
            <w:tcW w:w="3775" w:type="dxa"/>
          </w:tcPr>
          <w:p w14:paraId="453F12EE" w14:textId="77777777" w:rsidR="009C4087" w:rsidRDefault="00D33EEC">
            <w:r>
              <w:t>File Names</w:t>
            </w:r>
          </w:p>
        </w:tc>
        <w:tc>
          <w:tcPr>
            <w:tcW w:w="810" w:type="dxa"/>
          </w:tcPr>
          <w:p w14:paraId="1FC60A08" w14:textId="77777777" w:rsidR="009C4087" w:rsidRDefault="00D33EEC">
            <w:r>
              <w:t>DD</w:t>
            </w:r>
          </w:p>
        </w:tc>
        <w:tc>
          <w:tcPr>
            <w:tcW w:w="892" w:type="dxa"/>
          </w:tcPr>
          <w:p w14:paraId="0B7B9905" w14:textId="77777777" w:rsidR="009C4087" w:rsidRDefault="00D33EEC">
            <w:r>
              <w:t>RD</w:t>
            </w:r>
          </w:p>
        </w:tc>
        <w:tc>
          <w:tcPr>
            <w:tcW w:w="728" w:type="dxa"/>
          </w:tcPr>
          <w:p w14:paraId="1FAA0C91" w14:textId="77777777" w:rsidR="009C4087" w:rsidRDefault="00D33EEC">
            <w:r>
              <w:t>WR</w:t>
            </w:r>
          </w:p>
        </w:tc>
        <w:tc>
          <w:tcPr>
            <w:tcW w:w="835" w:type="dxa"/>
          </w:tcPr>
          <w:p w14:paraId="59B0CF8C" w14:textId="77777777" w:rsidR="009C4087" w:rsidRDefault="00D33EEC">
            <w:r>
              <w:t>DEL</w:t>
            </w:r>
          </w:p>
        </w:tc>
        <w:tc>
          <w:tcPr>
            <w:tcW w:w="1143" w:type="dxa"/>
          </w:tcPr>
          <w:p w14:paraId="6F170287" w14:textId="77777777" w:rsidR="009C4087" w:rsidRDefault="00D33EEC">
            <w:r>
              <w:t>LAYGO</w:t>
            </w:r>
          </w:p>
        </w:tc>
      </w:tr>
      <w:tr w:rsidR="009C4087" w14:paraId="2FB1EF33" w14:textId="77777777">
        <w:tc>
          <w:tcPr>
            <w:tcW w:w="1265" w:type="dxa"/>
          </w:tcPr>
          <w:p w14:paraId="142B350A" w14:textId="77777777" w:rsidR="009C4087" w:rsidRDefault="009C4087"/>
        </w:tc>
        <w:tc>
          <w:tcPr>
            <w:tcW w:w="3775" w:type="dxa"/>
          </w:tcPr>
          <w:p w14:paraId="589E7BFA" w14:textId="77777777" w:rsidR="009C4087" w:rsidRDefault="009C4087"/>
        </w:tc>
        <w:tc>
          <w:tcPr>
            <w:tcW w:w="810" w:type="dxa"/>
          </w:tcPr>
          <w:p w14:paraId="5306FA43" w14:textId="77777777" w:rsidR="009C4087" w:rsidRDefault="009C4087"/>
        </w:tc>
        <w:tc>
          <w:tcPr>
            <w:tcW w:w="892" w:type="dxa"/>
          </w:tcPr>
          <w:p w14:paraId="4DBBD161" w14:textId="77777777" w:rsidR="009C4087" w:rsidRDefault="009C4087"/>
        </w:tc>
        <w:tc>
          <w:tcPr>
            <w:tcW w:w="728" w:type="dxa"/>
          </w:tcPr>
          <w:p w14:paraId="395C4570" w14:textId="77777777" w:rsidR="009C4087" w:rsidRDefault="009C4087"/>
        </w:tc>
        <w:tc>
          <w:tcPr>
            <w:tcW w:w="835" w:type="dxa"/>
          </w:tcPr>
          <w:p w14:paraId="23E0B34E" w14:textId="77777777" w:rsidR="009C4087" w:rsidRDefault="009C4087"/>
        </w:tc>
        <w:tc>
          <w:tcPr>
            <w:tcW w:w="1143" w:type="dxa"/>
          </w:tcPr>
          <w:p w14:paraId="7E4B7419" w14:textId="77777777" w:rsidR="009C4087" w:rsidRDefault="009C4087"/>
        </w:tc>
      </w:tr>
      <w:tr w:rsidR="009C4087" w14:paraId="17E3610A" w14:textId="77777777">
        <w:tc>
          <w:tcPr>
            <w:tcW w:w="1265" w:type="dxa"/>
          </w:tcPr>
          <w:p w14:paraId="583244C7" w14:textId="77777777" w:rsidR="009C4087" w:rsidRDefault="00D33EEC">
            <w:pPr>
              <w:ind w:left="162"/>
            </w:pPr>
            <w:r>
              <w:t>550</w:t>
            </w:r>
          </w:p>
        </w:tc>
        <w:tc>
          <w:tcPr>
            <w:tcW w:w="3775" w:type="dxa"/>
          </w:tcPr>
          <w:p w14:paraId="1B856A8D" w14:textId="77777777" w:rsidR="009C4087" w:rsidRDefault="00D33EEC">
            <w:r>
              <w:t>CMOP SYSTEM</w:t>
            </w:r>
          </w:p>
        </w:tc>
        <w:tc>
          <w:tcPr>
            <w:tcW w:w="810" w:type="dxa"/>
          </w:tcPr>
          <w:p w14:paraId="6855580C" w14:textId="77777777" w:rsidR="009C4087" w:rsidRDefault="00D33EEC">
            <w:r>
              <w:t>@</w:t>
            </w:r>
          </w:p>
        </w:tc>
        <w:tc>
          <w:tcPr>
            <w:tcW w:w="892" w:type="dxa"/>
          </w:tcPr>
          <w:p w14:paraId="2D1FA05F" w14:textId="77777777" w:rsidR="009C4087" w:rsidRDefault="00D33EEC">
            <w:r>
              <w:t>@</w:t>
            </w:r>
          </w:p>
        </w:tc>
        <w:tc>
          <w:tcPr>
            <w:tcW w:w="728" w:type="dxa"/>
          </w:tcPr>
          <w:p w14:paraId="31583873" w14:textId="77777777" w:rsidR="009C4087" w:rsidRDefault="00D33EEC">
            <w:r>
              <w:t>@</w:t>
            </w:r>
          </w:p>
        </w:tc>
        <w:tc>
          <w:tcPr>
            <w:tcW w:w="835" w:type="dxa"/>
          </w:tcPr>
          <w:p w14:paraId="207A68C0" w14:textId="77777777" w:rsidR="009C4087" w:rsidRDefault="00D33EEC">
            <w:r>
              <w:t>@</w:t>
            </w:r>
          </w:p>
        </w:tc>
        <w:tc>
          <w:tcPr>
            <w:tcW w:w="1143" w:type="dxa"/>
          </w:tcPr>
          <w:p w14:paraId="1311407B" w14:textId="77777777" w:rsidR="009C4087" w:rsidRDefault="00D33EEC">
            <w:r>
              <w:t>@</w:t>
            </w:r>
          </w:p>
        </w:tc>
      </w:tr>
      <w:tr w:rsidR="009C4087" w14:paraId="66F40B21" w14:textId="77777777">
        <w:tc>
          <w:tcPr>
            <w:tcW w:w="1265" w:type="dxa"/>
          </w:tcPr>
          <w:p w14:paraId="090E7283" w14:textId="77777777" w:rsidR="009C4087" w:rsidRDefault="00D33EEC">
            <w:pPr>
              <w:ind w:left="162"/>
            </w:pPr>
            <w:r>
              <w:t>550.1</w:t>
            </w:r>
          </w:p>
        </w:tc>
        <w:tc>
          <w:tcPr>
            <w:tcW w:w="3775" w:type="dxa"/>
          </w:tcPr>
          <w:p w14:paraId="0A4BAFB5" w14:textId="77777777" w:rsidR="009C4087" w:rsidRDefault="00D33EEC">
            <w:r>
              <w:t>CMOP RX QUEUE</w:t>
            </w:r>
          </w:p>
        </w:tc>
        <w:tc>
          <w:tcPr>
            <w:tcW w:w="810" w:type="dxa"/>
          </w:tcPr>
          <w:p w14:paraId="14A07B5D" w14:textId="77777777" w:rsidR="009C4087" w:rsidRDefault="00D33EEC">
            <w:r>
              <w:t>@</w:t>
            </w:r>
          </w:p>
        </w:tc>
        <w:tc>
          <w:tcPr>
            <w:tcW w:w="892" w:type="dxa"/>
          </w:tcPr>
          <w:p w14:paraId="6BA952A2" w14:textId="77777777" w:rsidR="009C4087" w:rsidRDefault="00D33EEC">
            <w:r>
              <w:t>@</w:t>
            </w:r>
          </w:p>
        </w:tc>
        <w:tc>
          <w:tcPr>
            <w:tcW w:w="728" w:type="dxa"/>
          </w:tcPr>
          <w:p w14:paraId="59D4055D" w14:textId="77777777" w:rsidR="009C4087" w:rsidRDefault="00D33EEC">
            <w:r>
              <w:t>@</w:t>
            </w:r>
          </w:p>
        </w:tc>
        <w:tc>
          <w:tcPr>
            <w:tcW w:w="835" w:type="dxa"/>
          </w:tcPr>
          <w:p w14:paraId="35DEAC02" w14:textId="77777777" w:rsidR="009C4087" w:rsidRDefault="00D33EEC">
            <w:r>
              <w:t>@</w:t>
            </w:r>
          </w:p>
        </w:tc>
        <w:tc>
          <w:tcPr>
            <w:tcW w:w="1143" w:type="dxa"/>
          </w:tcPr>
          <w:p w14:paraId="3A799FCB" w14:textId="77777777" w:rsidR="009C4087" w:rsidRDefault="00D33EEC">
            <w:r>
              <w:t>@</w:t>
            </w:r>
          </w:p>
        </w:tc>
      </w:tr>
      <w:tr w:rsidR="009C4087" w14:paraId="77421FC1" w14:textId="77777777">
        <w:tc>
          <w:tcPr>
            <w:tcW w:w="1265" w:type="dxa"/>
          </w:tcPr>
          <w:p w14:paraId="3B5BEFC4" w14:textId="77777777" w:rsidR="009C4087" w:rsidRDefault="00D33EEC">
            <w:pPr>
              <w:ind w:left="162"/>
            </w:pPr>
            <w:r>
              <w:t>550.2</w:t>
            </w:r>
          </w:p>
        </w:tc>
        <w:tc>
          <w:tcPr>
            <w:tcW w:w="3775" w:type="dxa"/>
          </w:tcPr>
          <w:p w14:paraId="510A18EE" w14:textId="77777777" w:rsidR="009C4087" w:rsidRDefault="00D33EEC">
            <w:r>
              <w:t>CMOP TRANSMISSION</w:t>
            </w:r>
          </w:p>
        </w:tc>
        <w:tc>
          <w:tcPr>
            <w:tcW w:w="810" w:type="dxa"/>
          </w:tcPr>
          <w:p w14:paraId="0B6B3D6D" w14:textId="77777777" w:rsidR="009C4087" w:rsidRDefault="00D33EEC">
            <w:r>
              <w:t>@</w:t>
            </w:r>
          </w:p>
        </w:tc>
        <w:tc>
          <w:tcPr>
            <w:tcW w:w="892" w:type="dxa"/>
          </w:tcPr>
          <w:p w14:paraId="2C2045B5" w14:textId="77777777" w:rsidR="009C4087" w:rsidRDefault="00D33EEC">
            <w:r>
              <w:t>@</w:t>
            </w:r>
          </w:p>
        </w:tc>
        <w:tc>
          <w:tcPr>
            <w:tcW w:w="728" w:type="dxa"/>
          </w:tcPr>
          <w:p w14:paraId="6D1EF2B0" w14:textId="77777777" w:rsidR="009C4087" w:rsidRDefault="00D33EEC">
            <w:r>
              <w:t>@</w:t>
            </w:r>
          </w:p>
        </w:tc>
        <w:tc>
          <w:tcPr>
            <w:tcW w:w="835" w:type="dxa"/>
          </w:tcPr>
          <w:p w14:paraId="57514425" w14:textId="77777777" w:rsidR="009C4087" w:rsidRDefault="00D33EEC">
            <w:r>
              <w:t>@</w:t>
            </w:r>
          </w:p>
        </w:tc>
        <w:tc>
          <w:tcPr>
            <w:tcW w:w="1143" w:type="dxa"/>
          </w:tcPr>
          <w:p w14:paraId="63B0232B" w14:textId="77777777" w:rsidR="009C4087" w:rsidRDefault="00D33EEC">
            <w:r>
              <w:t>@</w:t>
            </w:r>
          </w:p>
        </w:tc>
      </w:tr>
      <w:tr w:rsidR="009C4087" w14:paraId="76A27B9C" w14:textId="77777777">
        <w:tc>
          <w:tcPr>
            <w:tcW w:w="1265" w:type="dxa"/>
          </w:tcPr>
          <w:p w14:paraId="3EC927F9" w14:textId="77777777" w:rsidR="009C4087" w:rsidRDefault="00D33EEC">
            <w:pPr>
              <w:ind w:left="162"/>
            </w:pPr>
            <w:r>
              <w:t>552</w:t>
            </w:r>
          </w:p>
        </w:tc>
        <w:tc>
          <w:tcPr>
            <w:tcW w:w="3775" w:type="dxa"/>
          </w:tcPr>
          <w:p w14:paraId="460F54D9" w14:textId="77777777" w:rsidR="009C4087" w:rsidRDefault="00D33EEC">
            <w:r>
              <w:t>CMOP NATIONAL SITE</w:t>
            </w:r>
          </w:p>
        </w:tc>
        <w:tc>
          <w:tcPr>
            <w:tcW w:w="810" w:type="dxa"/>
          </w:tcPr>
          <w:p w14:paraId="5536D70E" w14:textId="77777777" w:rsidR="009C4087" w:rsidRDefault="00D33EEC">
            <w:r>
              <w:t>@</w:t>
            </w:r>
          </w:p>
        </w:tc>
        <w:tc>
          <w:tcPr>
            <w:tcW w:w="892" w:type="dxa"/>
          </w:tcPr>
          <w:p w14:paraId="33E52634" w14:textId="77777777" w:rsidR="009C4087" w:rsidRDefault="00D33EEC">
            <w:r>
              <w:t>@</w:t>
            </w:r>
          </w:p>
        </w:tc>
        <w:tc>
          <w:tcPr>
            <w:tcW w:w="728" w:type="dxa"/>
          </w:tcPr>
          <w:p w14:paraId="78F764DD" w14:textId="77777777" w:rsidR="009C4087" w:rsidRDefault="00D33EEC">
            <w:r>
              <w:t>@</w:t>
            </w:r>
          </w:p>
        </w:tc>
        <w:tc>
          <w:tcPr>
            <w:tcW w:w="835" w:type="dxa"/>
          </w:tcPr>
          <w:p w14:paraId="45E57988" w14:textId="77777777" w:rsidR="009C4087" w:rsidRDefault="00D33EEC">
            <w:r>
              <w:t>@</w:t>
            </w:r>
          </w:p>
        </w:tc>
        <w:tc>
          <w:tcPr>
            <w:tcW w:w="1143" w:type="dxa"/>
          </w:tcPr>
          <w:p w14:paraId="0F742B01" w14:textId="77777777" w:rsidR="009C4087" w:rsidRDefault="00D33EEC">
            <w:r>
              <w:t>@</w:t>
            </w:r>
          </w:p>
        </w:tc>
      </w:tr>
      <w:tr w:rsidR="009C4087" w14:paraId="2C6F2251" w14:textId="77777777">
        <w:tc>
          <w:tcPr>
            <w:tcW w:w="1265" w:type="dxa"/>
          </w:tcPr>
          <w:p w14:paraId="526CFCFE" w14:textId="77777777" w:rsidR="009C4087" w:rsidRDefault="00D33EEC">
            <w:pPr>
              <w:ind w:left="162"/>
            </w:pPr>
            <w:r>
              <w:t>552.1</w:t>
            </w:r>
          </w:p>
        </w:tc>
        <w:tc>
          <w:tcPr>
            <w:tcW w:w="3775" w:type="dxa"/>
          </w:tcPr>
          <w:p w14:paraId="3A3276B6" w14:textId="77777777" w:rsidR="009C4087" w:rsidRDefault="00D33EEC">
            <w:r>
              <w:t>CMOP REFERENCE</w:t>
            </w:r>
          </w:p>
        </w:tc>
        <w:tc>
          <w:tcPr>
            <w:tcW w:w="810" w:type="dxa"/>
          </w:tcPr>
          <w:p w14:paraId="3D01072C" w14:textId="77777777" w:rsidR="009C4087" w:rsidRDefault="00D33EEC">
            <w:r>
              <w:t>@</w:t>
            </w:r>
          </w:p>
        </w:tc>
        <w:tc>
          <w:tcPr>
            <w:tcW w:w="892" w:type="dxa"/>
          </w:tcPr>
          <w:p w14:paraId="6B7D01C4" w14:textId="77777777" w:rsidR="009C4087" w:rsidRDefault="00D33EEC">
            <w:r>
              <w:t>@</w:t>
            </w:r>
          </w:p>
        </w:tc>
        <w:tc>
          <w:tcPr>
            <w:tcW w:w="728" w:type="dxa"/>
          </w:tcPr>
          <w:p w14:paraId="35B9B3CA" w14:textId="77777777" w:rsidR="009C4087" w:rsidRDefault="00D33EEC">
            <w:r>
              <w:t>@</w:t>
            </w:r>
          </w:p>
        </w:tc>
        <w:tc>
          <w:tcPr>
            <w:tcW w:w="835" w:type="dxa"/>
          </w:tcPr>
          <w:p w14:paraId="30332254" w14:textId="77777777" w:rsidR="009C4087" w:rsidRDefault="00D33EEC">
            <w:r>
              <w:t>@</w:t>
            </w:r>
          </w:p>
        </w:tc>
        <w:tc>
          <w:tcPr>
            <w:tcW w:w="1143" w:type="dxa"/>
          </w:tcPr>
          <w:p w14:paraId="34B8B11B" w14:textId="77777777" w:rsidR="009C4087" w:rsidRDefault="00D33EEC">
            <w:r>
              <w:t>@</w:t>
            </w:r>
          </w:p>
        </w:tc>
      </w:tr>
      <w:tr w:rsidR="009C4087" w14:paraId="3691ADA3" w14:textId="77777777">
        <w:tc>
          <w:tcPr>
            <w:tcW w:w="1265" w:type="dxa"/>
          </w:tcPr>
          <w:p w14:paraId="3E84382C" w14:textId="77777777" w:rsidR="009C4087" w:rsidRDefault="00D33EEC">
            <w:pPr>
              <w:ind w:left="162"/>
            </w:pPr>
            <w:r>
              <w:t>552.2</w:t>
            </w:r>
          </w:p>
        </w:tc>
        <w:tc>
          <w:tcPr>
            <w:tcW w:w="3775" w:type="dxa"/>
          </w:tcPr>
          <w:p w14:paraId="716BB30B" w14:textId="77777777" w:rsidR="009C4087" w:rsidRDefault="00D33EEC">
            <w:r>
              <w:t>CMOP DATABASE</w:t>
            </w:r>
          </w:p>
        </w:tc>
        <w:tc>
          <w:tcPr>
            <w:tcW w:w="810" w:type="dxa"/>
          </w:tcPr>
          <w:p w14:paraId="4BC09CA4" w14:textId="77777777" w:rsidR="009C4087" w:rsidRDefault="00D33EEC">
            <w:r>
              <w:t>@</w:t>
            </w:r>
          </w:p>
        </w:tc>
        <w:tc>
          <w:tcPr>
            <w:tcW w:w="892" w:type="dxa"/>
          </w:tcPr>
          <w:p w14:paraId="37460BEE" w14:textId="77777777" w:rsidR="009C4087" w:rsidRDefault="00D33EEC">
            <w:r>
              <w:t>@</w:t>
            </w:r>
          </w:p>
        </w:tc>
        <w:tc>
          <w:tcPr>
            <w:tcW w:w="728" w:type="dxa"/>
          </w:tcPr>
          <w:p w14:paraId="154486D3" w14:textId="77777777" w:rsidR="009C4087" w:rsidRDefault="00D33EEC">
            <w:r>
              <w:t>@</w:t>
            </w:r>
          </w:p>
        </w:tc>
        <w:tc>
          <w:tcPr>
            <w:tcW w:w="835" w:type="dxa"/>
          </w:tcPr>
          <w:p w14:paraId="00F50C92" w14:textId="77777777" w:rsidR="009C4087" w:rsidRDefault="00D33EEC">
            <w:r>
              <w:t>@</w:t>
            </w:r>
          </w:p>
        </w:tc>
        <w:tc>
          <w:tcPr>
            <w:tcW w:w="1143" w:type="dxa"/>
          </w:tcPr>
          <w:p w14:paraId="53EFEE31" w14:textId="77777777" w:rsidR="009C4087" w:rsidRDefault="00D33EEC">
            <w:r>
              <w:t>@</w:t>
            </w:r>
          </w:p>
        </w:tc>
      </w:tr>
      <w:tr w:rsidR="009C4087" w14:paraId="3AB54D17" w14:textId="77777777">
        <w:tc>
          <w:tcPr>
            <w:tcW w:w="1265" w:type="dxa"/>
          </w:tcPr>
          <w:p w14:paraId="0DBF115F" w14:textId="77777777" w:rsidR="009C4087" w:rsidRDefault="00D33EEC">
            <w:pPr>
              <w:ind w:left="162"/>
            </w:pPr>
            <w:r>
              <w:t>552.3</w:t>
            </w:r>
          </w:p>
        </w:tc>
        <w:tc>
          <w:tcPr>
            <w:tcW w:w="3775" w:type="dxa"/>
          </w:tcPr>
          <w:p w14:paraId="760A241A" w14:textId="77777777" w:rsidR="009C4087" w:rsidRDefault="00D33EEC">
            <w:r>
              <w:t>CMOP RELEASE</w:t>
            </w:r>
          </w:p>
        </w:tc>
        <w:tc>
          <w:tcPr>
            <w:tcW w:w="810" w:type="dxa"/>
          </w:tcPr>
          <w:p w14:paraId="7E17FB4B" w14:textId="77777777" w:rsidR="009C4087" w:rsidRDefault="00D33EEC">
            <w:r>
              <w:t>@</w:t>
            </w:r>
          </w:p>
        </w:tc>
        <w:tc>
          <w:tcPr>
            <w:tcW w:w="892" w:type="dxa"/>
          </w:tcPr>
          <w:p w14:paraId="79106434" w14:textId="77777777" w:rsidR="009C4087" w:rsidRDefault="00D33EEC">
            <w:r>
              <w:t>@</w:t>
            </w:r>
          </w:p>
        </w:tc>
        <w:tc>
          <w:tcPr>
            <w:tcW w:w="728" w:type="dxa"/>
          </w:tcPr>
          <w:p w14:paraId="04E117C1" w14:textId="77777777" w:rsidR="009C4087" w:rsidRDefault="00D33EEC">
            <w:r>
              <w:t>@</w:t>
            </w:r>
          </w:p>
        </w:tc>
        <w:tc>
          <w:tcPr>
            <w:tcW w:w="835" w:type="dxa"/>
          </w:tcPr>
          <w:p w14:paraId="4A58FA24" w14:textId="77777777" w:rsidR="009C4087" w:rsidRDefault="00D33EEC">
            <w:r>
              <w:t>@</w:t>
            </w:r>
          </w:p>
        </w:tc>
        <w:tc>
          <w:tcPr>
            <w:tcW w:w="1143" w:type="dxa"/>
          </w:tcPr>
          <w:p w14:paraId="5281054D" w14:textId="77777777" w:rsidR="009C4087" w:rsidRDefault="00D33EEC">
            <w:r>
              <w:t>@</w:t>
            </w:r>
          </w:p>
        </w:tc>
      </w:tr>
      <w:tr w:rsidR="009C4087" w14:paraId="08889B02" w14:textId="77777777">
        <w:tc>
          <w:tcPr>
            <w:tcW w:w="1265" w:type="dxa"/>
          </w:tcPr>
          <w:p w14:paraId="585B3755" w14:textId="77777777" w:rsidR="009C4087" w:rsidRDefault="00D33EEC">
            <w:pPr>
              <w:ind w:left="162"/>
            </w:pPr>
            <w:r>
              <w:t>552.4</w:t>
            </w:r>
          </w:p>
        </w:tc>
        <w:tc>
          <w:tcPr>
            <w:tcW w:w="3775" w:type="dxa"/>
          </w:tcPr>
          <w:p w14:paraId="3E6698C3" w14:textId="77777777" w:rsidR="009C4087" w:rsidRDefault="00D33EEC">
            <w:r>
              <w:t>CMOP MASTER DATABASE</w:t>
            </w:r>
          </w:p>
        </w:tc>
        <w:tc>
          <w:tcPr>
            <w:tcW w:w="810" w:type="dxa"/>
          </w:tcPr>
          <w:p w14:paraId="00FF455D" w14:textId="77777777" w:rsidR="009C4087" w:rsidRDefault="00D33EEC">
            <w:r>
              <w:t>@</w:t>
            </w:r>
          </w:p>
        </w:tc>
        <w:tc>
          <w:tcPr>
            <w:tcW w:w="892" w:type="dxa"/>
          </w:tcPr>
          <w:p w14:paraId="5C14B010" w14:textId="77777777" w:rsidR="009C4087" w:rsidRDefault="00D33EEC">
            <w:r>
              <w:t>@</w:t>
            </w:r>
          </w:p>
        </w:tc>
        <w:tc>
          <w:tcPr>
            <w:tcW w:w="728" w:type="dxa"/>
          </w:tcPr>
          <w:p w14:paraId="20B34742" w14:textId="77777777" w:rsidR="009C4087" w:rsidRDefault="00D33EEC">
            <w:r>
              <w:t>@</w:t>
            </w:r>
          </w:p>
        </w:tc>
        <w:tc>
          <w:tcPr>
            <w:tcW w:w="835" w:type="dxa"/>
          </w:tcPr>
          <w:p w14:paraId="18C16E12" w14:textId="77777777" w:rsidR="009C4087" w:rsidRDefault="00D33EEC">
            <w:r>
              <w:t>@</w:t>
            </w:r>
          </w:p>
        </w:tc>
        <w:tc>
          <w:tcPr>
            <w:tcW w:w="1143" w:type="dxa"/>
          </w:tcPr>
          <w:p w14:paraId="4FA859C4" w14:textId="77777777" w:rsidR="009C4087" w:rsidRDefault="00D33EEC">
            <w:r>
              <w:t>@</w:t>
            </w:r>
          </w:p>
        </w:tc>
      </w:tr>
      <w:tr w:rsidR="009C4087" w14:paraId="2A417B74" w14:textId="77777777">
        <w:tc>
          <w:tcPr>
            <w:tcW w:w="1265" w:type="dxa"/>
          </w:tcPr>
          <w:p w14:paraId="7BAF574B" w14:textId="77777777" w:rsidR="009C4087" w:rsidRDefault="00D33EEC">
            <w:pPr>
              <w:ind w:left="162"/>
            </w:pPr>
            <w:r>
              <w:t>552.5</w:t>
            </w:r>
          </w:p>
        </w:tc>
        <w:tc>
          <w:tcPr>
            <w:tcW w:w="3775" w:type="dxa"/>
          </w:tcPr>
          <w:p w14:paraId="10B4C199" w14:textId="77777777" w:rsidR="009C4087" w:rsidRDefault="00D33EEC">
            <w:r>
              <w:t>CMOP COST STATS</w:t>
            </w:r>
          </w:p>
        </w:tc>
        <w:tc>
          <w:tcPr>
            <w:tcW w:w="810" w:type="dxa"/>
          </w:tcPr>
          <w:p w14:paraId="0173CD0C" w14:textId="77777777" w:rsidR="009C4087" w:rsidRDefault="00D33EEC">
            <w:r>
              <w:t>@</w:t>
            </w:r>
          </w:p>
        </w:tc>
        <w:tc>
          <w:tcPr>
            <w:tcW w:w="892" w:type="dxa"/>
          </w:tcPr>
          <w:p w14:paraId="528DFD41" w14:textId="77777777" w:rsidR="009C4087" w:rsidRDefault="00D33EEC">
            <w:r>
              <w:t>@</w:t>
            </w:r>
          </w:p>
        </w:tc>
        <w:tc>
          <w:tcPr>
            <w:tcW w:w="728" w:type="dxa"/>
          </w:tcPr>
          <w:p w14:paraId="2C3993C9" w14:textId="77777777" w:rsidR="009C4087" w:rsidRDefault="00D33EEC">
            <w:r>
              <w:t>@</w:t>
            </w:r>
          </w:p>
        </w:tc>
        <w:tc>
          <w:tcPr>
            <w:tcW w:w="835" w:type="dxa"/>
          </w:tcPr>
          <w:p w14:paraId="37E75DE9" w14:textId="77777777" w:rsidR="009C4087" w:rsidRDefault="00D33EEC">
            <w:r>
              <w:t>@</w:t>
            </w:r>
          </w:p>
        </w:tc>
        <w:tc>
          <w:tcPr>
            <w:tcW w:w="1143" w:type="dxa"/>
          </w:tcPr>
          <w:p w14:paraId="420A8FF5" w14:textId="77777777" w:rsidR="009C4087" w:rsidRDefault="00D33EEC">
            <w:r>
              <w:t>@</w:t>
            </w:r>
          </w:p>
        </w:tc>
      </w:tr>
      <w:tr w:rsidR="009C4087" w14:paraId="1DF065EA" w14:textId="77777777">
        <w:tc>
          <w:tcPr>
            <w:tcW w:w="1265" w:type="dxa"/>
          </w:tcPr>
          <w:p w14:paraId="2D29D5A0" w14:textId="77777777" w:rsidR="009C4087" w:rsidRDefault="00D33EEC">
            <w:pPr>
              <w:ind w:left="162"/>
            </w:pPr>
            <w:r>
              <w:t>553</w:t>
            </w:r>
          </w:p>
        </w:tc>
        <w:tc>
          <w:tcPr>
            <w:tcW w:w="3775" w:type="dxa"/>
          </w:tcPr>
          <w:p w14:paraId="38F535B7" w14:textId="77777777" w:rsidR="009C4087" w:rsidRDefault="00D33EEC">
            <w:r>
              <w:t>CMOP INTERFACE</w:t>
            </w:r>
          </w:p>
        </w:tc>
        <w:tc>
          <w:tcPr>
            <w:tcW w:w="810" w:type="dxa"/>
          </w:tcPr>
          <w:p w14:paraId="321A781C" w14:textId="77777777" w:rsidR="009C4087" w:rsidRDefault="00D33EEC">
            <w:r>
              <w:t>@</w:t>
            </w:r>
          </w:p>
        </w:tc>
        <w:tc>
          <w:tcPr>
            <w:tcW w:w="892" w:type="dxa"/>
          </w:tcPr>
          <w:p w14:paraId="3C7EA0B7" w14:textId="77777777" w:rsidR="009C4087" w:rsidRDefault="00D33EEC">
            <w:r>
              <w:t>@</w:t>
            </w:r>
          </w:p>
        </w:tc>
        <w:tc>
          <w:tcPr>
            <w:tcW w:w="728" w:type="dxa"/>
          </w:tcPr>
          <w:p w14:paraId="60E85E73" w14:textId="77777777" w:rsidR="009C4087" w:rsidRDefault="00D33EEC">
            <w:r>
              <w:t>@</w:t>
            </w:r>
          </w:p>
        </w:tc>
        <w:tc>
          <w:tcPr>
            <w:tcW w:w="835" w:type="dxa"/>
          </w:tcPr>
          <w:p w14:paraId="4D7C570A" w14:textId="77777777" w:rsidR="009C4087" w:rsidRDefault="00D33EEC">
            <w:r>
              <w:t>@</w:t>
            </w:r>
          </w:p>
        </w:tc>
        <w:tc>
          <w:tcPr>
            <w:tcW w:w="1143" w:type="dxa"/>
          </w:tcPr>
          <w:p w14:paraId="3623FEBD" w14:textId="77777777" w:rsidR="009C4087" w:rsidRDefault="00D33EEC">
            <w:r>
              <w:t>@</w:t>
            </w:r>
          </w:p>
        </w:tc>
      </w:tr>
      <w:tr w:rsidR="009C4087" w14:paraId="77BA08D5" w14:textId="77777777">
        <w:tc>
          <w:tcPr>
            <w:tcW w:w="1265" w:type="dxa"/>
          </w:tcPr>
          <w:p w14:paraId="2A827FE6" w14:textId="77777777" w:rsidR="009C4087" w:rsidRDefault="00D33EEC">
            <w:pPr>
              <w:ind w:left="162"/>
            </w:pPr>
            <w:r>
              <w:t>553.1</w:t>
            </w:r>
          </w:p>
        </w:tc>
        <w:tc>
          <w:tcPr>
            <w:tcW w:w="3775" w:type="dxa"/>
          </w:tcPr>
          <w:p w14:paraId="6B7175BD" w14:textId="77777777" w:rsidR="009C4087" w:rsidRDefault="00D33EEC">
            <w:r>
              <w:t xml:space="preserve">CMOP QUERY </w:t>
            </w:r>
          </w:p>
        </w:tc>
        <w:tc>
          <w:tcPr>
            <w:tcW w:w="810" w:type="dxa"/>
          </w:tcPr>
          <w:p w14:paraId="7ABED608" w14:textId="77777777" w:rsidR="009C4087" w:rsidRDefault="00D33EEC">
            <w:r>
              <w:t>@</w:t>
            </w:r>
          </w:p>
        </w:tc>
        <w:tc>
          <w:tcPr>
            <w:tcW w:w="892" w:type="dxa"/>
          </w:tcPr>
          <w:p w14:paraId="0625F336" w14:textId="77777777" w:rsidR="009C4087" w:rsidRDefault="00D33EEC">
            <w:r>
              <w:t>@</w:t>
            </w:r>
          </w:p>
        </w:tc>
        <w:tc>
          <w:tcPr>
            <w:tcW w:w="728" w:type="dxa"/>
          </w:tcPr>
          <w:p w14:paraId="78F00D4B" w14:textId="77777777" w:rsidR="009C4087" w:rsidRDefault="00D33EEC">
            <w:r>
              <w:t>@</w:t>
            </w:r>
          </w:p>
        </w:tc>
        <w:tc>
          <w:tcPr>
            <w:tcW w:w="835" w:type="dxa"/>
          </w:tcPr>
          <w:p w14:paraId="2C3AFCAB" w14:textId="77777777" w:rsidR="009C4087" w:rsidRDefault="00D33EEC">
            <w:r>
              <w:t>@</w:t>
            </w:r>
          </w:p>
        </w:tc>
        <w:tc>
          <w:tcPr>
            <w:tcW w:w="1143" w:type="dxa"/>
          </w:tcPr>
          <w:p w14:paraId="6DFC00DD" w14:textId="77777777" w:rsidR="009C4087" w:rsidRDefault="00D33EEC">
            <w:r>
              <w:t>@</w:t>
            </w:r>
          </w:p>
        </w:tc>
      </w:tr>
      <w:tr w:rsidR="009C4087" w14:paraId="1F96025B" w14:textId="77777777">
        <w:tc>
          <w:tcPr>
            <w:tcW w:w="1265" w:type="dxa"/>
          </w:tcPr>
          <w:p w14:paraId="36F1B89C" w14:textId="77777777" w:rsidR="009C4087" w:rsidRDefault="00D33EEC">
            <w:pPr>
              <w:ind w:left="162"/>
            </w:pPr>
            <w:r>
              <w:t>554</w:t>
            </w:r>
          </w:p>
        </w:tc>
        <w:tc>
          <w:tcPr>
            <w:tcW w:w="3775" w:type="dxa"/>
          </w:tcPr>
          <w:p w14:paraId="7243FB6E" w14:textId="77777777" w:rsidR="009C4087" w:rsidRDefault="00D33EEC">
            <w:r>
              <w:t>CMOP OPERATIONS</w:t>
            </w:r>
          </w:p>
        </w:tc>
        <w:tc>
          <w:tcPr>
            <w:tcW w:w="810" w:type="dxa"/>
          </w:tcPr>
          <w:p w14:paraId="3511A518" w14:textId="77777777" w:rsidR="009C4087" w:rsidRDefault="00D33EEC">
            <w:r>
              <w:t>@</w:t>
            </w:r>
          </w:p>
        </w:tc>
        <w:tc>
          <w:tcPr>
            <w:tcW w:w="892" w:type="dxa"/>
          </w:tcPr>
          <w:p w14:paraId="00F7668F" w14:textId="77777777" w:rsidR="009C4087" w:rsidRDefault="00D33EEC">
            <w:r>
              <w:t>@</w:t>
            </w:r>
          </w:p>
        </w:tc>
        <w:tc>
          <w:tcPr>
            <w:tcW w:w="728" w:type="dxa"/>
          </w:tcPr>
          <w:p w14:paraId="2E263173" w14:textId="77777777" w:rsidR="009C4087" w:rsidRDefault="00D33EEC">
            <w:r>
              <w:t>@</w:t>
            </w:r>
          </w:p>
        </w:tc>
        <w:tc>
          <w:tcPr>
            <w:tcW w:w="835" w:type="dxa"/>
          </w:tcPr>
          <w:p w14:paraId="0A43D6C8" w14:textId="77777777" w:rsidR="009C4087" w:rsidRDefault="00D33EEC">
            <w:r>
              <w:t>@</w:t>
            </w:r>
          </w:p>
        </w:tc>
        <w:tc>
          <w:tcPr>
            <w:tcW w:w="1143" w:type="dxa"/>
          </w:tcPr>
          <w:p w14:paraId="67937901" w14:textId="77777777" w:rsidR="009C4087" w:rsidRDefault="00D33EEC">
            <w:r>
              <w:t>@</w:t>
            </w:r>
          </w:p>
        </w:tc>
      </w:tr>
      <w:tr w:rsidR="009C4087" w14:paraId="76893A41" w14:textId="77777777">
        <w:tc>
          <w:tcPr>
            <w:tcW w:w="1265" w:type="dxa"/>
          </w:tcPr>
          <w:p w14:paraId="58E516E7" w14:textId="77777777" w:rsidR="009C4087" w:rsidRDefault="00D33EEC">
            <w:pPr>
              <w:ind w:left="162"/>
            </w:pPr>
            <w:r>
              <w:t>555</w:t>
            </w:r>
          </w:p>
        </w:tc>
        <w:tc>
          <w:tcPr>
            <w:tcW w:w="3775" w:type="dxa"/>
          </w:tcPr>
          <w:p w14:paraId="67AC7E72" w14:textId="77777777" w:rsidR="009C4087" w:rsidRDefault="00D33EEC">
            <w:r>
              <w:t>CMOP MASTER DATABASE ARCHIVE</w:t>
            </w:r>
          </w:p>
        </w:tc>
        <w:tc>
          <w:tcPr>
            <w:tcW w:w="810" w:type="dxa"/>
          </w:tcPr>
          <w:p w14:paraId="5F7BD625" w14:textId="77777777" w:rsidR="009C4087" w:rsidRDefault="00D33EEC">
            <w:r>
              <w:t>@</w:t>
            </w:r>
          </w:p>
        </w:tc>
        <w:tc>
          <w:tcPr>
            <w:tcW w:w="892" w:type="dxa"/>
          </w:tcPr>
          <w:p w14:paraId="2CD33783" w14:textId="77777777" w:rsidR="009C4087" w:rsidRDefault="00D33EEC">
            <w:r>
              <w:t>@</w:t>
            </w:r>
          </w:p>
        </w:tc>
        <w:tc>
          <w:tcPr>
            <w:tcW w:w="728" w:type="dxa"/>
          </w:tcPr>
          <w:p w14:paraId="3E056FE9" w14:textId="77777777" w:rsidR="009C4087" w:rsidRDefault="00D33EEC">
            <w:r>
              <w:t>@</w:t>
            </w:r>
          </w:p>
        </w:tc>
        <w:tc>
          <w:tcPr>
            <w:tcW w:w="835" w:type="dxa"/>
          </w:tcPr>
          <w:p w14:paraId="71A316E2" w14:textId="77777777" w:rsidR="009C4087" w:rsidRDefault="00D33EEC">
            <w:r>
              <w:t>@</w:t>
            </w:r>
          </w:p>
        </w:tc>
        <w:tc>
          <w:tcPr>
            <w:tcW w:w="1143" w:type="dxa"/>
          </w:tcPr>
          <w:p w14:paraId="18B1C2C2" w14:textId="77777777" w:rsidR="009C4087" w:rsidRDefault="00D33EEC">
            <w:r>
              <w:t>@</w:t>
            </w:r>
          </w:p>
        </w:tc>
      </w:tr>
      <w:tr w:rsidR="009C4087" w14:paraId="57FCD34A" w14:textId="77777777">
        <w:tc>
          <w:tcPr>
            <w:tcW w:w="1265" w:type="dxa"/>
          </w:tcPr>
          <w:p w14:paraId="098CCF25" w14:textId="77777777" w:rsidR="009C4087" w:rsidRDefault="00D33EEC">
            <w:pPr>
              <w:ind w:left="162"/>
            </w:pPr>
            <w:r>
              <w:t>50</w:t>
            </w:r>
          </w:p>
        </w:tc>
        <w:tc>
          <w:tcPr>
            <w:tcW w:w="3775" w:type="dxa"/>
          </w:tcPr>
          <w:p w14:paraId="79F377E8" w14:textId="77777777" w:rsidR="009C4087" w:rsidRDefault="00D33EEC">
            <w:r>
              <w:t>DRUG</w:t>
            </w:r>
          </w:p>
        </w:tc>
        <w:tc>
          <w:tcPr>
            <w:tcW w:w="810" w:type="dxa"/>
          </w:tcPr>
          <w:p w14:paraId="0C4C0BB3" w14:textId="77777777" w:rsidR="009C4087" w:rsidRDefault="00D33EEC">
            <w:r>
              <w:t>@</w:t>
            </w:r>
          </w:p>
        </w:tc>
        <w:tc>
          <w:tcPr>
            <w:tcW w:w="892" w:type="dxa"/>
          </w:tcPr>
          <w:p w14:paraId="5C6994C9" w14:textId="77777777" w:rsidR="009C4087" w:rsidRDefault="009C4087"/>
        </w:tc>
        <w:tc>
          <w:tcPr>
            <w:tcW w:w="728" w:type="dxa"/>
          </w:tcPr>
          <w:p w14:paraId="597DDD27" w14:textId="77777777" w:rsidR="009C4087" w:rsidRDefault="009C4087"/>
        </w:tc>
        <w:tc>
          <w:tcPr>
            <w:tcW w:w="835" w:type="dxa"/>
          </w:tcPr>
          <w:p w14:paraId="4C99FDDB" w14:textId="77777777" w:rsidR="009C4087" w:rsidRDefault="009C4087"/>
        </w:tc>
        <w:tc>
          <w:tcPr>
            <w:tcW w:w="1143" w:type="dxa"/>
          </w:tcPr>
          <w:p w14:paraId="4AAC887C" w14:textId="77777777" w:rsidR="009C4087" w:rsidRDefault="009C4087"/>
        </w:tc>
      </w:tr>
      <w:tr w:rsidR="009C4087" w14:paraId="39DD5AE4" w14:textId="77777777">
        <w:tc>
          <w:tcPr>
            <w:tcW w:w="1265" w:type="dxa"/>
          </w:tcPr>
          <w:p w14:paraId="19429A59" w14:textId="77777777" w:rsidR="009C4087" w:rsidRDefault="00D33EEC">
            <w:r>
              <w:t>*51.5</w:t>
            </w:r>
          </w:p>
        </w:tc>
        <w:tc>
          <w:tcPr>
            <w:tcW w:w="3775" w:type="dxa"/>
          </w:tcPr>
          <w:p w14:paraId="2B28015B" w14:textId="77777777" w:rsidR="009C4087" w:rsidRDefault="00D33EEC">
            <w:r>
              <w:t>ORDER UNIT</w:t>
            </w:r>
          </w:p>
        </w:tc>
        <w:tc>
          <w:tcPr>
            <w:tcW w:w="810" w:type="dxa"/>
          </w:tcPr>
          <w:p w14:paraId="38C8BC4D" w14:textId="77777777" w:rsidR="009C4087" w:rsidRDefault="009C4087"/>
        </w:tc>
        <w:tc>
          <w:tcPr>
            <w:tcW w:w="892" w:type="dxa"/>
          </w:tcPr>
          <w:p w14:paraId="07ECB150" w14:textId="77777777" w:rsidR="009C4087" w:rsidRDefault="009C4087"/>
        </w:tc>
        <w:tc>
          <w:tcPr>
            <w:tcW w:w="728" w:type="dxa"/>
          </w:tcPr>
          <w:p w14:paraId="1E5B0DA6" w14:textId="77777777" w:rsidR="009C4087" w:rsidRDefault="009C4087"/>
        </w:tc>
        <w:tc>
          <w:tcPr>
            <w:tcW w:w="835" w:type="dxa"/>
          </w:tcPr>
          <w:p w14:paraId="26276D00" w14:textId="77777777" w:rsidR="009C4087" w:rsidRDefault="009C4087"/>
        </w:tc>
        <w:tc>
          <w:tcPr>
            <w:tcW w:w="1143" w:type="dxa"/>
          </w:tcPr>
          <w:p w14:paraId="518D6EB8" w14:textId="77777777" w:rsidR="009C4087" w:rsidRDefault="009C4087"/>
        </w:tc>
      </w:tr>
      <w:tr w:rsidR="009C4087" w14:paraId="06AA3BCA" w14:textId="77777777">
        <w:tc>
          <w:tcPr>
            <w:tcW w:w="1265" w:type="dxa"/>
          </w:tcPr>
          <w:p w14:paraId="7BF4B2B1" w14:textId="77777777" w:rsidR="009C4087" w:rsidRDefault="00D33EEC">
            <w:r>
              <w:t>*52</w:t>
            </w:r>
          </w:p>
        </w:tc>
        <w:tc>
          <w:tcPr>
            <w:tcW w:w="3775" w:type="dxa"/>
          </w:tcPr>
          <w:p w14:paraId="757836A5" w14:textId="77777777" w:rsidR="009C4087" w:rsidRDefault="00D33EEC">
            <w:r>
              <w:t>PRESCRIPTION</w:t>
            </w:r>
          </w:p>
        </w:tc>
        <w:tc>
          <w:tcPr>
            <w:tcW w:w="810" w:type="dxa"/>
          </w:tcPr>
          <w:p w14:paraId="1FD54C02" w14:textId="77777777" w:rsidR="009C4087" w:rsidRDefault="009C4087"/>
        </w:tc>
        <w:tc>
          <w:tcPr>
            <w:tcW w:w="892" w:type="dxa"/>
          </w:tcPr>
          <w:p w14:paraId="54D1AA23" w14:textId="77777777" w:rsidR="009C4087" w:rsidRDefault="009C4087"/>
        </w:tc>
        <w:tc>
          <w:tcPr>
            <w:tcW w:w="728" w:type="dxa"/>
          </w:tcPr>
          <w:p w14:paraId="0A78F083" w14:textId="77777777" w:rsidR="009C4087" w:rsidRDefault="009C4087"/>
        </w:tc>
        <w:tc>
          <w:tcPr>
            <w:tcW w:w="835" w:type="dxa"/>
          </w:tcPr>
          <w:p w14:paraId="5CAF855D" w14:textId="77777777" w:rsidR="009C4087" w:rsidRDefault="009C4087"/>
        </w:tc>
        <w:tc>
          <w:tcPr>
            <w:tcW w:w="1143" w:type="dxa"/>
          </w:tcPr>
          <w:p w14:paraId="549C2E54" w14:textId="77777777" w:rsidR="009C4087" w:rsidRDefault="009C4087"/>
        </w:tc>
      </w:tr>
      <w:tr w:rsidR="009C4087" w14:paraId="33681FEE" w14:textId="77777777">
        <w:tc>
          <w:tcPr>
            <w:tcW w:w="1265" w:type="dxa"/>
          </w:tcPr>
          <w:p w14:paraId="4BC45DBE" w14:textId="77777777" w:rsidR="009C4087" w:rsidRDefault="00D33EEC">
            <w:r>
              <w:t>*52.5</w:t>
            </w:r>
          </w:p>
        </w:tc>
        <w:tc>
          <w:tcPr>
            <w:tcW w:w="3775" w:type="dxa"/>
          </w:tcPr>
          <w:p w14:paraId="474D260D" w14:textId="77777777" w:rsidR="009C4087" w:rsidRDefault="00D33EEC">
            <w:r>
              <w:t>RX SUSPENSE</w:t>
            </w:r>
          </w:p>
        </w:tc>
        <w:tc>
          <w:tcPr>
            <w:tcW w:w="810" w:type="dxa"/>
          </w:tcPr>
          <w:p w14:paraId="75B9AD5E" w14:textId="77777777" w:rsidR="009C4087" w:rsidRDefault="009C4087"/>
        </w:tc>
        <w:tc>
          <w:tcPr>
            <w:tcW w:w="892" w:type="dxa"/>
          </w:tcPr>
          <w:p w14:paraId="6F3CD785" w14:textId="77777777" w:rsidR="009C4087" w:rsidRDefault="009C4087"/>
        </w:tc>
        <w:tc>
          <w:tcPr>
            <w:tcW w:w="728" w:type="dxa"/>
          </w:tcPr>
          <w:p w14:paraId="0C250A92" w14:textId="77777777" w:rsidR="009C4087" w:rsidRDefault="009C4087"/>
        </w:tc>
        <w:tc>
          <w:tcPr>
            <w:tcW w:w="835" w:type="dxa"/>
          </w:tcPr>
          <w:p w14:paraId="04134342" w14:textId="77777777" w:rsidR="009C4087" w:rsidRDefault="009C4087"/>
        </w:tc>
        <w:tc>
          <w:tcPr>
            <w:tcW w:w="1143" w:type="dxa"/>
          </w:tcPr>
          <w:p w14:paraId="7207E1A3" w14:textId="77777777" w:rsidR="009C4087" w:rsidRDefault="009C4087"/>
        </w:tc>
      </w:tr>
      <w:tr w:rsidR="009C4087" w14:paraId="411324D6" w14:textId="77777777">
        <w:tc>
          <w:tcPr>
            <w:tcW w:w="1265" w:type="dxa"/>
          </w:tcPr>
          <w:p w14:paraId="3C9DAEB9" w14:textId="77777777" w:rsidR="009C4087" w:rsidRDefault="00D33EEC">
            <w:r>
              <w:t>*54</w:t>
            </w:r>
          </w:p>
        </w:tc>
        <w:tc>
          <w:tcPr>
            <w:tcW w:w="3775" w:type="dxa"/>
          </w:tcPr>
          <w:p w14:paraId="0844D111" w14:textId="77777777" w:rsidR="009C4087" w:rsidRDefault="00D33EEC">
            <w:r>
              <w:t>RX CONSULT</w:t>
            </w:r>
          </w:p>
        </w:tc>
        <w:tc>
          <w:tcPr>
            <w:tcW w:w="810" w:type="dxa"/>
          </w:tcPr>
          <w:p w14:paraId="53153531" w14:textId="77777777" w:rsidR="009C4087" w:rsidRDefault="009C4087"/>
        </w:tc>
        <w:tc>
          <w:tcPr>
            <w:tcW w:w="892" w:type="dxa"/>
          </w:tcPr>
          <w:p w14:paraId="6FA68598" w14:textId="77777777" w:rsidR="009C4087" w:rsidRDefault="009C4087"/>
        </w:tc>
        <w:tc>
          <w:tcPr>
            <w:tcW w:w="728" w:type="dxa"/>
          </w:tcPr>
          <w:p w14:paraId="62600E87" w14:textId="77777777" w:rsidR="009C4087" w:rsidRDefault="009C4087"/>
        </w:tc>
        <w:tc>
          <w:tcPr>
            <w:tcW w:w="835" w:type="dxa"/>
          </w:tcPr>
          <w:p w14:paraId="1A1A4A0E" w14:textId="77777777" w:rsidR="009C4087" w:rsidRDefault="009C4087"/>
        </w:tc>
        <w:tc>
          <w:tcPr>
            <w:tcW w:w="1143" w:type="dxa"/>
          </w:tcPr>
          <w:p w14:paraId="7D97BBF8" w14:textId="77777777" w:rsidR="009C4087" w:rsidRDefault="009C4087"/>
        </w:tc>
      </w:tr>
      <w:tr w:rsidR="009C4087" w14:paraId="6AC3B702" w14:textId="77777777">
        <w:tc>
          <w:tcPr>
            <w:tcW w:w="1265" w:type="dxa"/>
          </w:tcPr>
          <w:p w14:paraId="1678F671" w14:textId="77777777" w:rsidR="009C4087" w:rsidRDefault="00D33EEC">
            <w:r>
              <w:t>*50.6</w:t>
            </w:r>
          </w:p>
        </w:tc>
        <w:tc>
          <w:tcPr>
            <w:tcW w:w="3775" w:type="dxa"/>
          </w:tcPr>
          <w:p w14:paraId="39931894" w14:textId="77777777" w:rsidR="009C4087" w:rsidRDefault="00D33EEC">
            <w:r>
              <w:t>NATIONAL DRUG</w:t>
            </w:r>
          </w:p>
        </w:tc>
        <w:tc>
          <w:tcPr>
            <w:tcW w:w="810" w:type="dxa"/>
          </w:tcPr>
          <w:p w14:paraId="5B22C333" w14:textId="77777777" w:rsidR="009C4087" w:rsidRDefault="00D33EEC">
            <w:r>
              <w:t>^</w:t>
            </w:r>
          </w:p>
        </w:tc>
        <w:tc>
          <w:tcPr>
            <w:tcW w:w="892" w:type="dxa"/>
          </w:tcPr>
          <w:p w14:paraId="5FA768C5" w14:textId="77777777" w:rsidR="009C4087" w:rsidRDefault="009C4087"/>
        </w:tc>
        <w:tc>
          <w:tcPr>
            <w:tcW w:w="728" w:type="dxa"/>
          </w:tcPr>
          <w:p w14:paraId="346B4753" w14:textId="77777777" w:rsidR="009C4087" w:rsidRDefault="00D33EEC">
            <w:r>
              <w:t>^</w:t>
            </w:r>
          </w:p>
        </w:tc>
        <w:tc>
          <w:tcPr>
            <w:tcW w:w="835" w:type="dxa"/>
          </w:tcPr>
          <w:p w14:paraId="129C1B5D" w14:textId="77777777" w:rsidR="009C4087" w:rsidRDefault="00D33EEC">
            <w:r>
              <w:t>^</w:t>
            </w:r>
          </w:p>
        </w:tc>
        <w:tc>
          <w:tcPr>
            <w:tcW w:w="1143" w:type="dxa"/>
          </w:tcPr>
          <w:p w14:paraId="09D27AF5" w14:textId="77777777" w:rsidR="009C4087" w:rsidRDefault="00D33EEC">
            <w:r>
              <w:t>^</w:t>
            </w:r>
          </w:p>
        </w:tc>
      </w:tr>
    </w:tbl>
    <w:p w14:paraId="7150B5CB" w14:textId="77777777" w:rsidR="009C4087" w:rsidRDefault="009C4087"/>
    <w:p w14:paraId="405B266E" w14:textId="77777777" w:rsidR="009C4087" w:rsidRDefault="00D33EEC">
      <w:r>
        <w:rPr>
          <w:sz w:val="48"/>
        </w:rPr>
        <w:sym w:font="Monotype Sorts" w:char="F02B"/>
      </w:r>
      <w:r>
        <w:tab/>
        <w:t>*No security codes exist for these files.</w:t>
      </w:r>
    </w:p>
    <w:sectPr w:rsidR="009C4087">
      <w:footerReference w:type="even" r:id="rId8"/>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B7F86E" w14:textId="77777777" w:rsidR="009C4087" w:rsidRDefault="00D33EEC">
      <w:pPr>
        <w:spacing w:line="240" w:lineRule="auto"/>
      </w:pPr>
      <w:r>
        <w:separator/>
      </w:r>
    </w:p>
  </w:endnote>
  <w:endnote w:type="continuationSeparator" w:id="0">
    <w:p w14:paraId="21D8D035" w14:textId="77777777" w:rsidR="009C4087" w:rsidRDefault="00D33E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CE420" w14:textId="77777777" w:rsidR="009C4087" w:rsidRDefault="00D33EEC">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CE875CB" w14:textId="77777777" w:rsidR="009C4087" w:rsidRDefault="00D33EEC">
    <w:pPr>
      <w:pStyle w:val="Footer"/>
      <w:ind w:right="360"/>
    </w:pPr>
    <w:r>
      <w:t>April 1997</w:t>
    </w:r>
    <w:r>
      <w:tab/>
      <w:t>Consolidated Mail Outpatient Pharmacy V. 2.0</w:t>
    </w:r>
    <w:r>
      <w:tab/>
    </w:r>
    <w:r>
      <w:pgNum/>
    </w:r>
  </w:p>
  <w:p w14:paraId="6CFBC23D" w14:textId="77777777" w:rsidR="009C4087" w:rsidRDefault="00D33EEC">
    <w:pPr>
      <w:pStyle w:val="Footer"/>
    </w:pPr>
    <w:r>
      <w:tab/>
      <w:t>Package Security Guide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638FD" w14:textId="77777777" w:rsidR="009C4087" w:rsidRDefault="00D33EEC">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tab/>
      <w:t>Consolidated Mail Outpatient Pharmacy V. 2.0</w:t>
    </w:r>
    <w:r>
      <w:tab/>
      <w:t>April 1997</w:t>
    </w:r>
  </w:p>
  <w:p w14:paraId="209520C6" w14:textId="77777777" w:rsidR="009C4087" w:rsidRDefault="00D33EEC">
    <w:pPr>
      <w:pStyle w:val="Footer"/>
    </w:pPr>
    <w:r>
      <w:tab/>
      <w:t>Package Security Guide</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F9422D" w14:textId="77777777" w:rsidR="009C4087" w:rsidRDefault="00D33EEC">
      <w:pPr>
        <w:spacing w:line="240" w:lineRule="auto"/>
      </w:pPr>
      <w:r>
        <w:separator/>
      </w:r>
    </w:p>
  </w:footnote>
  <w:footnote w:type="continuationSeparator" w:id="0">
    <w:p w14:paraId="7910950E" w14:textId="77777777" w:rsidR="009C4087" w:rsidRDefault="00D33EE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NotTrackMoves/>
  <w:defaultTabStop w:val="720"/>
  <w:evenAndOddHeader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3EEC"/>
    <w:rsid w:val="006A5A62"/>
    <w:rsid w:val="00874C86"/>
    <w:rsid w:val="009C4087"/>
    <w:rsid w:val="00D33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C52942C"/>
  <w15:chartTrackingRefBased/>
  <w15:docId w15:val="{960764D6-49FB-4171-8BA8-03CBF53C9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line="216" w:lineRule="auto"/>
      <w:textAlignment w:val="baseline"/>
    </w:pPr>
    <w:rPr>
      <w:rFonts w:ascii="Century Schoolbook" w:hAnsi="Century Schoolbook"/>
      <w:sz w:val="24"/>
    </w:rPr>
  </w:style>
  <w:style w:type="paragraph" w:styleId="Heading1">
    <w:name w:val="heading 1"/>
    <w:basedOn w:val="Normal"/>
    <w:next w:val="Normal"/>
    <w:qFormat/>
    <w:pPr>
      <w:outlineLvl w:val="0"/>
    </w:pPr>
    <w:rPr>
      <w:rFonts w:ascii="Arial" w:hAnsi="Arial"/>
      <w:b/>
      <w:sz w:val="36"/>
    </w:rPr>
  </w:style>
  <w:style w:type="paragraph" w:styleId="Heading2">
    <w:name w:val="heading 2"/>
    <w:basedOn w:val="Normal"/>
    <w:next w:val="Normal"/>
    <w:qFormat/>
    <w:pPr>
      <w:spacing w:line="240" w:lineRule="auto"/>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b/>
    </w:rPr>
  </w:style>
  <w:style w:type="paragraph" w:styleId="Heading5">
    <w:name w:val="heading 5"/>
    <w:basedOn w:val="Normal"/>
    <w:next w:val="Normal"/>
    <w:qFormat/>
    <w:pP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right" w:leader="dot" w:pos="9360"/>
      </w:tabs>
      <w:spacing w:before="360"/>
    </w:pPr>
  </w:style>
  <w:style w:type="paragraph" w:styleId="TOC2">
    <w:name w:val="toc 2"/>
    <w:basedOn w:val="Normal"/>
    <w:next w:val="Normal"/>
    <w:semiHidden/>
    <w:pPr>
      <w:tabs>
        <w:tab w:val="right" w:leader="dot" w:pos="9360"/>
      </w:tabs>
      <w:ind w:left="245"/>
    </w:pPr>
  </w:style>
  <w:style w:type="paragraph" w:styleId="TOC3">
    <w:name w:val="toc 3"/>
    <w:basedOn w:val="Normal"/>
    <w:next w:val="Normal"/>
    <w:semiHidden/>
    <w:pPr>
      <w:tabs>
        <w:tab w:val="right" w:leader="dot" w:pos="9360"/>
      </w:tabs>
      <w:ind w:left="480"/>
    </w:pPr>
  </w:style>
  <w:style w:type="paragraph" w:styleId="TOC4">
    <w:name w:val="toc 4"/>
    <w:basedOn w:val="Normal"/>
    <w:next w:val="Normal"/>
    <w:semiHidden/>
    <w:pPr>
      <w:tabs>
        <w:tab w:val="right" w:leader="dot" w:pos="9360"/>
      </w:tabs>
      <w:ind w:left="720"/>
    </w:pPr>
  </w:style>
  <w:style w:type="paragraph" w:styleId="Index1">
    <w:name w:val="index 1"/>
    <w:basedOn w:val="Normal"/>
    <w:semiHidden/>
    <w:pPr>
      <w:widowControl w:val="0"/>
      <w:tabs>
        <w:tab w:val="right" w:pos="9360"/>
      </w:tabs>
      <w:ind w:left="240" w:hanging="240"/>
    </w:pPr>
  </w:style>
  <w:style w:type="paragraph" w:styleId="Index2">
    <w:name w:val="index 2"/>
    <w:basedOn w:val="Normal"/>
    <w:next w:val="Normal"/>
    <w:semiHidden/>
    <w:pPr>
      <w:tabs>
        <w:tab w:val="right" w:pos="4320"/>
      </w:tabs>
      <w:ind w:left="480" w:hanging="240"/>
    </w:pPr>
  </w:style>
  <w:style w:type="paragraph" w:styleId="Index3">
    <w:name w:val="index 3"/>
    <w:basedOn w:val="Normal"/>
    <w:next w:val="Normal"/>
    <w:semiHidden/>
    <w:pPr>
      <w:tabs>
        <w:tab w:val="right" w:pos="4320"/>
      </w:tabs>
      <w:ind w:left="720" w:hanging="240"/>
    </w:pPr>
  </w:style>
  <w:style w:type="paragraph" w:styleId="Index4">
    <w:name w:val="index 4"/>
    <w:basedOn w:val="Normal"/>
    <w:next w:val="Normal"/>
    <w:semiHidden/>
    <w:pPr>
      <w:tabs>
        <w:tab w:val="right" w:pos="4320"/>
      </w:tabs>
      <w:ind w:left="960" w:hanging="240"/>
    </w:pPr>
  </w:style>
  <w:style w:type="paragraph" w:styleId="IndexHeading">
    <w:name w:val="index heading"/>
    <w:basedOn w:val="Normal"/>
    <w:next w:val="Index1"/>
    <w:semiHidden/>
    <w:pPr>
      <w:spacing w:before="240" w:after="120"/>
    </w:pPr>
    <w:rPr>
      <w:b/>
    </w:rPr>
  </w:style>
  <w:style w:type="paragraph" w:customStyle="1" w:styleId="H1">
    <w:name w:val="H1"/>
    <w:basedOn w:val="Normal"/>
    <w:rPr>
      <w:rFonts w:ascii="Arial" w:hAnsi="Arial"/>
      <w:sz w:val="28"/>
    </w:rPr>
  </w:style>
  <w:style w:type="paragraph" w:styleId="Header">
    <w:name w:val="header"/>
    <w:basedOn w:val="Normal"/>
    <w:semiHidden/>
    <w:pPr>
      <w:tabs>
        <w:tab w:val="center" w:pos="4680"/>
        <w:tab w:val="right" w:pos="9360"/>
      </w:tabs>
    </w:pPr>
    <w:rPr>
      <w:sz w:val="20"/>
    </w:rPr>
  </w:style>
  <w:style w:type="paragraph" w:styleId="Footer">
    <w:name w:val="footer"/>
    <w:basedOn w:val="Normal"/>
    <w:semiHidden/>
    <w:pPr>
      <w:tabs>
        <w:tab w:val="center" w:pos="4680"/>
        <w:tab w:val="right" w:pos="9360"/>
      </w:tabs>
    </w:pPr>
    <w:rPr>
      <w:sz w:val="20"/>
    </w:rPr>
  </w:style>
  <w:style w:type="paragraph" w:customStyle="1" w:styleId="Helvetica">
    <w:name w:val="Helvetica"/>
    <w:basedOn w:val="Normal"/>
    <w:pPr>
      <w:spacing w:line="240" w:lineRule="auto"/>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Department of Veterans Affairs</vt:lpstr>
    </vt:vector>
  </TitlesOfParts>
  <Company>Birmingham IRMFO</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Veterans Affairs</dc:title>
  <dc:subject/>
  <dc:creator/>
  <cp:keywords/>
  <dc:description/>
  <cp:lastModifiedBy>Department of Veterans Affairs</cp:lastModifiedBy>
  <cp:revision>3</cp:revision>
  <cp:lastPrinted>1997-04-03T17:15:00Z</cp:lastPrinted>
  <dcterms:created xsi:type="dcterms:W3CDTF">2021-08-19T20:06:00Z</dcterms:created>
  <dcterms:modified xsi:type="dcterms:W3CDTF">2021-08-19T20:07:00Z</dcterms:modified>
</cp:coreProperties>
</file>